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EC1F" w14:textId="788A32A4" w:rsidR="00F75B02" w:rsidRDefault="00F75B02" w:rsidP="00661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0FF9"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225CACD6" wp14:editId="659B427F">
            <wp:simplePos x="0" y="0"/>
            <wp:positionH relativeFrom="margin">
              <wp:align>left</wp:align>
            </wp:positionH>
            <wp:positionV relativeFrom="paragraph">
              <wp:posOffset>208</wp:posOffset>
            </wp:positionV>
            <wp:extent cx="286702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528" y="2032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A600E" w14:textId="77777777" w:rsidR="00F75B02" w:rsidRDefault="00F75B02" w:rsidP="00661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D65844" w14:textId="77777777" w:rsidR="00F75B02" w:rsidRDefault="00F75B02" w:rsidP="00661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4D1DE5" w14:textId="77777777" w:rsidR="00F75B02" w:rsidRDefault="00F75B02" w:rsidP="00661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71E0C0" w14:textId="77777777" w:rsidR="00600F19" w:rsidRPr="00E46A5A" w:rsidRDefault="00600F19" w:rsidP="00661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44BDA5C4" w14:textId="532D0CD5" w:rsidR="006617BC" w:rsidRPr="00E46A5A" w:rsidRDefault="00BE4145" w:rsidP="00E46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SAOPŠTENJE ZA JAVNOST</w:t>
      </w:r>
    </w:p>
    <w:p w14:paraId="3A8D2433" w14:textId="77777777" w:rsidR="006617BC" w:rsidRPr="006617BC" w:rsidRDefault="006617BC" w:rsidP="0066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A308BF" w14:textId="77777777" w:rsidR="00DE12E9" w:rsidRDefault="00DE12E9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E4DD5B1" w14:textId="77777777" w:rsidR="00CF35E3" w:rsidRPr="001E0902" w:rsidRDefault="00CF35E3" w:rsidP="00CF35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Intesa Sanpaolo usvojila konsolidovane rezultate na dan 31. mart 2023.</w:t>
      </w:r>
    </w:p>
    <w:p w14:paraId="5B0BA916" w14:textId="77777777" w:rsidR="00CF35E3" w:rsidRPr="001E0902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29D43" w14:textId="77777777" w:rsidR="00CF35E3" w:rsidRDefault="00CF35E3" w:rsidP="00CF35E3">
      <w:pPr>
        <w:pStyle w:val="Default"/>
        <w:jc w:val="both"/>
        <w:rPr>
          <w:b/>
          <w:i/>
          <w:iCs/>
        </w:rPr>
      </w:pPr>
    </w:p>
    <w:p w14:paraId="0737FF3E" w14:textId="77777777" w:rsidR="00CF35E3" w:rsidRPr="001E0902" w:rsidRDefault="00CF35E3" w:rsidP="00CF35E3">
      <w:pPr>
        <w:pStyle w:val="Default"/>
        <w:jc w:val="both"/>
      </w:pPr>
      <w:r w:rsidRPr="001E0902">
        <w:rPr>
          <w:b/>
          <w:i/>
          <w:iCs/>
        </w:rPr>
        <w:t xml:space="preserve">Torino - Milano, </w:t>
      </w:r>
      <w:r>
        <w:rPr>
          <w:b/>
          <w:i/>
          <w:iCs/>
        </w:rPr>
        <w:t>8</w:t>
      </w:r>
      <w:r w:rsidRPr="001E0902">
        <w:rPr>
          <w:b/>
          <w:i/>
          <w:iCs/>
        </w:rPr>
        <w:t xml:space="preserve">. maj </w:t>
      </w:r>
      <w:r w:rsidRPr="00C13321">
        <w:rPr>
          <w:b/>
          <w:i/>
          <w:iCs/>
        </w:rPr>
        <w:t>2023. godine</w:t>
      </w:r>
      <w:r w:rsidRPr="00C13321">
        <w:rPr>
          <w:i/>
          <w:iCs/>
        </w:rPr>
        <w:t xml:space="preserve"> </w:t>
      </w:r>
      <w:r w:rsidRPr="00C13321">
        <w:t>– Upravni odbor Intesa Sanpaolo, međunarodne bankarske grupacije u čijem sastavu posluje Banca Intesa, odobrio je konsolidovani izveštaj na dan 31. mart 2023.</w:t>
      </w:r>
      <w:r w:rsidRPr="001E0902">
        <w:t xml:space="preserve"> </w:t>
      </w:r>
      <w:bookmarkStart w:id="0" w:name="_GoBack"/>
      <w:bookmarkEnd w:id="0"/>
    </w:p>
    <w:p w14:paraId="0A479038" w14:textId="77777777" w:rsidR="00CF35E3" w:rsidRPr="001E0902" w:rsidRDefault="00CF35E3" w:rsidP="00CF35E3">
      <w:pPr>
        <w:pStyle w:val="Default"/>
        <w:jc w:val="both"/>
      </w:pPr>
    </w:p>
    <w:p w14:paraId="76746BA3" w14:textId="77777777" w:rsidR="00CF35E3" w:rsidRPr="00910E68" w:rsidRDefault="00CF35E3" w:rsidP="00CF35E3">
      <w:pPr>
        <w:pStyle w:val="Default"/>
        <w:jc w:val="both"/>
      </w:pPr>
      <w:r w:rsidRPr="00910E68">
        <w:t xml:space="preserve">Rezultati za prvo tromesečje 2023. godine potvrđuju sposobnost grupe Intesa Sanpaolo da zahvaljujući dobro diversifikovanom i otpornom poslovnom modelu generiše održivu profitabilnost čak i u kompleksnom okruženju, sa neto prihodom od gotovo 2 milijarde evra predvođenim neto prihodom od kamata. </w:t>
      </w:r>
    </w:p>
    <w:p w14:paraId="6B524E5D" w14:textId="77777777" w:rsidR="00CF35E3" w:rsidRPr="00910E68" w:rsidRDefault="00CF35E3" w:rsidP="00CF35E3">
      <w:pPr>
        <w:pStyle w:val="Default"/>
        <w:jc w:val="both"/>
      </w:pPr>
    </w:p>
    <w:p w14:paraId="4F953341" w14:textId="77777777" w:rsidR="00CF35E3" w:rsidRPr="00910E68" w:rsidRDefault="00CF35E3" w:rsidP="00CF35E3">
      <w:pPr>
        <w:pStyle w:val="Default"/>
        <w:jc w:val="both"/>
      </w:pPr>
      <w:r w:rsidRPr="00910E68">
        <w:t>„Tokom godina, naša Banka je razvila diversifikovan i otporan poslovni model koji se pokazao kao uspešan delom i zahvaljujući njenoj sposobnosti da značajno poboljša kvalitet kredita, da na fleksibilan i efikasan način upravlja operativnim troškovima i vremenom izgradi kapitalnu bazu koja je daleko iznad zahtevanog nivoa“, izjavio je Karlo Mesina (Carlo Messina), generalni i izvršni direktor Intesa Sanpaolo. „Jedinstveni model - sa tradicionalnom snagom u komercijalnom bankarstvu i istaknutom pozicijom u upravljanju imovinom - nam omogućava da iskoristimo aktuelni kontekst kojeg karakteriše rast kamatnih stopa i u isto vreme će nam obezbediti otpornost i profitabilnost u budućim scenarijima pada kamatnih stopa. Zahvaljujući svemu navedenom, Intesa Sanpaolo je u vrhu bankarskog sektora Evrope i ima jedinstveno značajnu ulogu u privredi Italije, poslujući u korist svih zainteresovanih strana.</w:t>
      </w:r>
    </w:p>
    <w:p w14:paraId="29DC2CFD" w14:textId="77777777" w:rsidR="00CF35E3" w:rsidRPr="00910E68" w:rsidRDefault="00CF35E3" w:rsidP="00CF35E3">
      <w:pPr>
        <w:pStyle w:val="Default"/>
        <w:jc w:val="both"/>
      </w:pPr>
    </w:p>
    <w:p w14:paraId="7EB6C0B8" w14:textId="77777777" w:rsidR="00CF35E3" w:rsidRPr="00910E68" w:rsidRDefault="00CF35E3" w:rsidP="00CF35E3">
      <w:pPr>
        <w:pStyle w:val="Default"/>
        <w:jc w:val="both"/>
      </w:pPr>
      <w:r w:rsidRPr="00910E68">
        <w:t xml:space="preserve">Solidan bilans stanja i bilans uspeha u ovom tromesečju kreirali su značajnu vrednost za sve zainteresovane strane, koja je zasnovana i na snažnom opredeljenju Grupe ESG principima. Konkretno, akumulirane su dividende od 1,4 milijarde evra, generisani porezi od 1,4 milijarde evra, što predstavlja rast od oko 300 miliona evra u odnosu na prvo tromesečje 2022. kao posledica rasta neto prihoda od kamata koji je doveo do povećanja neto prihoda od oko 900 miliona evra, proširen je program obezbeđivanja hrane i smeštaja za ugrožena lica (oko 24,3 miliona intervencija u periodu od 2022 do prvog tromesečja 2023.), unapređene inicijative za borbu protiv nejednakosti i promovisanje finansijske, socijalne, obrazovne i kulturne inkluzije (10,5 milijardi evra socijalnih kredita i obnove urbanih područja u periodu od 2022 do prvog tromesečja 2023.). </w:t>
      </w:r>
    </w:p>
    <w:p w14:paraId="440C58BE" w14:textId="77777777" w:rsidR="00CF35E3" w:rsidRPr="00910E68" w:rsidRDefault="00CF35E3" w:rsidP="00CF35E3">
      <w:pPr>
        <w:pStyle w:val="Default"/>
        <w:jc w:val="both"/>
      </w:pPr>
    </w:p>
    <w:p w14:paraId="28B53B47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>Intesa Sanpaolo je potpuno spremna da i u budućnosti uspešno posluje zahvaljujući ključnim prednostima grupe, a to su pre svega otporna profitabilnost, snažna kapitalna pozicija, status banke bez nenplativih kredita i visoka fleksibilnost u upravljanju operativnim troškovima.</w:t>
      </w:r>
    </w:p>
    <w:p w14:paraId="4BAFECDB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E7423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 xml:space="preserve">• </w:t>
      </w:r>
      <w:r w:rsidRPr="00910E68">
        <w:rPr>
          <w:rFonts w:ascii="Arial" w:hAnsi="Arial" w:cs="Arial"/>
          <w:b/>
          <w:sz w:val="24"/>
          <w:szCs w:val="24"/>
        </w:rPr>
        <w:t>Neto prihod</w:t>
      </w:r>
      <w:r w:rsidRPr="00910E68">
        <w:rPr>
          <w:rFonts w:ascii="Arial" w:hAnsi="Arial" w:cs="Arial"/>
          <w:sz w:val="24"/>
          <w:szCs w:val="24"/>
        </w:rPr>
        <w:t xml:space="preserve"> od 1.956 miliona evra u prvom tromesečju 2023. u poređenju sa 1.076 miliona evra u četvrtom tromesečju 2022. i 1.043 miliona evra u prvom tromesečju 2022.</w:t>
      </w:r>
    </w:p>
    <w:p w14:paraId="265A2FBE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 xml:space="preserve">• </w:t>
      </w:r>
      <w:r w:rsidRPr="00910E68">
        <w:rPr>
          <w:rFonts w:ascii="Arial" w:hAnsi="Arial" w:cs="Arial"/>
          <w:b/>
          <w:sz w:val="24"/>
          <w:szCs w:val="24"/>
        </w:rPr>
        <w:t>Bruto prihod</w:t>
      </w:r>
      <w:r w:rsidRPr="00910E68">
        <w:rPr>
          <w:rFonts w:ascii="Arial" w:hAnsi="Arial" w:cs="Arial"/>
          <w:sz w:val="24"/>
          <w:szCs w:val="24"/>
        </w:rPr>
        <w:t xml:space="preserve"> veći za 58% u odnosu na prvo tromesečje. 2022.</w:t>
      </w:r>
    </w:p>
    <w:p w14:paraId="6CE65B5F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 xml:space="preserve">• </w:t>
      </w:r>
      <w:r w:rsidRPr="00910E68">
        <w:rPr>
          <w:rFonts w:ascii="Arial" w:hAnsi="Arial" w:cs="Arial"/>
          <w:b/>
          <w:sz w:val="24"/>
          <w:szCs w:val="24"/>
        </w:rPr>
        <w:t>Operativna marža</w:t>
      </w:r>
      <w:r w:rsidRPr="00910E68">
        <w:rPr>
          <w:rFonts w:ascii="Arial" w:hAnsi="Arial" w:cs="Arial"/>
          <w:sz w:val="24"/>
          <w:szCs w:val="24"/>
        </w:rPr>
        <w:t xml:space="preserve"> veća za 22% u odnosu na prvo tromesečje. 2022.</w:t>
      </w:r>
    </w:p>
    <w:p w14:paraId="5C4C3310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910E68">
        <w:rPr>
          <w:rFonts w:ascii="Arial" w:hAnsi="Arial" w:cs="Arial"/>
          <w:b/>
          <w:sz w:val="24"/>
          <w:szCs w:val="24"/>
        </w:rPr>
        <w:t>Operativni prihod</w:t>
      </w:r>
      <w:r w:rsidRPr="00910E68">
        <w:rPr>
          <w:rFonts w:ascii="Arial" w:hAnsi="Arial" w:cs="Arial"/>
          <w:sz w:val="24"/>
          <w:szCs w:val="24"/>
        </w:rPr>
        <w:t xml:space="preserve"> veći za 11,9% u odnosu na prvo tromesečje. 2022.</w:t>
      </w:r>
    </w:p>
    <w:p w14:paraId="724FC7D9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 xml:space="preserve">• </w:t>
      </w:r>
      <w:r w:rsidRPr="00910E68">
        <w:rPr>
          <w:rFonts w:ascii="Arial" w:hAnsi="Arial" w:cs="Arial"/>
          <w:b/>
          <w:sz w:val="24"/>
          <w:szCs w:val="24"/>
        </w:rPr>
        <w:t>Operativni troškovi</w:t>
      </w:r>
      <w:r w:rsidRPr="00910E68">
        <w:rPr>
          <w:rFonts w:ascii="Arial" w:hAnsi="Arial" w:cs="Arial"/>
          <w:sz w:val="24"/>
          <w:szCs w:val="24"/>
        </w:rPr>
        <w:t xml:space="preserve"> blago uvećani u odnosu na prvo tromesečje. 2022. (veći za 0,5%)</w:t>
      </w:r>
    </w:p>
    <w:p w14:paraId="79B2C444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 xml:space="preserve">• </w:t>
      </w:r>
      <w:r w:rsidRPr="00910E68">
        <w:rPr>
          <w:rFonts w:ascii="Arial" w:hAnsi="Arial" w:cs="Arial"/>
          <w:b/>
          <w:sz w:val="24"/>
          <w:szCs w:val="24"/>
        </w:rPr>
        <w:t>Kvalitet kredita</w:t>
      </w:r>
      <w:r w:rsidRPr="00910E68">
        <w:rPr>
          <w:rFonts w:ascii="Arial" w:hAnsi="Arial" w:cs="Arial"/>
          <w:sz w:val="24"/>
          <w:szCs w:val="24"/>
        </w:rPr>
        <w:t>:</w:t>
      </w:r>
    </w:p>
    <w:p w14:paraId="5A206F65" w14:textId="77777777" w:rsidR="00CF35E3" w:rsidRPr="00910E68" w:rsidRDefault="00CF35E3" w:rsidP="00CF35E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>Smanjenje stanja problematičnih kredita od 2,1% neto i povećanje od 1,2% bruto u odnosu na kraj 2022.</w:t>
      </w:r>
    </w:p>
    <w:p w14:paraId="295E57ED" w14:textId="77777777" w:rsidR="00CF35E3" w:rsidRPr="00910E68" w:rsidRDefault="00CF35E3" w:rsidP="00CF35E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>Udeo problematičnih kredita u ukupnim kreditima od 1,2% neto i 2,4% bruto, odnosno 1% i 2% prema EBA metodologiji</w:t>
      </w:r>
    </w:p>
    <w:p w14:paraId="235FD798" w14:textId="77777777" w:rsidR="00CF35E3" w:rsidRPr="00910E68" w:rsidRDefault="00CF35E3" w:rsidP="00CF35E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>Anualizovani trošak rizika u prvom tromesečju 2023. od 17 baznih poena (u odnosu na 70 baznih poena u 2022, 30 baznih poena kada se izuzmu korekcije zbog izloženosti prema Rusiji i Ukrajini, za umanjenje izloženosti i rizika, netirano delimičnim oslobađanjem generičkih rezervisanja odvojenih 2020. godine za potencijalne buduće uticaje Covid-19)</w:t>
      </w:r>
    </w:p>
    <w:p w14:paraId="2EDEBA69" w14:textId="77777777" w:rsidR="00CF35E3" w:rsidRPr="00910E68" w:rsidRDefault="00CF35E3" w:rsidP="00CF3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 xml:space="preserve">• </w:t>
      </w:r>
      <w:r w:rsidRPr="00910E68">
        <w:rPr>
          <w:rFonts w:ascii="Arial" w:hAnsi="Arial" w:cs="Arial"/>
          <w:b/>
          <w:sz w:val="24"/>
          <w:szCs w:val="24"/>
        </w:rPr>
        <w:t>Solidna kapitalna pozicija</w:t>
      </w:r>
      <w:r w:rsidRPr="00910E68">
        <w:rPr>
          <w:rFonts w:ascii="Arial" w:hAnsi="Arial" w:cs="Arial"/>
          <w:sz w:val="24"/>
          <w:szCs w:val="24"/>
        </w:rPr>
        <w:t>, daleko iznad regulatornih zahteva:</w:t>
      </w:r>
    </w:p>
    <w:p w14:paraId="31A21FF8" w14:textId="77777777" w:rsidR="00CF35E3" w:rsidRPr="00910E68" w:rsidRDefault="00CF35E3" w:rsidP="00CF35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68">
        <w:rPr>
          <w:rFonts w:ascii="Arial" w:hAnsi="Arial" w:cs="Arial"/>
          <w:sz w:val="24"/>
          <w:szCs w:val="24"/>
        </w:rPr>
        <w:t>Pokazatelj adekvatnosti kapitala CET1 na dan 31. decembar 2023. godine, nakon izuzimanja iz kapitala 1,4 milijarde evra obračunatih dividendi za prvo tromesečje 2023: 13,7% „fully-loaded“ ne uzimajući u obzir pozitivni uticaj od oko 125 baznih poena na osnovu apsorpcije odloženih poreskih sredstava (dta), od čega je oko 30 baznih poena u okviru ciljeva poslovnog plana za period od drugog tromesečja 2023. do 2025.</w:t>
      </w:r>
    </w:p>
    <w:p w14:paraId="619346C6" w14:textId="60D4FB57" w:rsidR="00DE12E9" w:rsidRDefault="00DE12E9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5BB2A0C" w14:textId="5848E859" w:rsidR="00DE12E9" w:rsidRDefault="00DE12E9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0067DF2" w14:textId="33B12E0F" w:rsidR="00DE12E9" w:rsidRDefault="00DE12E9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40BB6F" w14:textId="61635DD3" w:rsidR="00CF35E3" w:rsidRDefault="00CF35E3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C1352F3" w14:textId="4C621250" w:rsidR="00CF35E3" w:rsidRDefault="00CF35E3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9655F53" w14:textId="7106F24E" w:rsidR="00CF35E3" w:rsidRDefault="00CF35E3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8A7D8B" w14:textId="05FF03DC" w:rsidR="00CF35E3" w:rsidRDefault="00CF35E3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343B18A" w14:textId="76FED1D2" w:rsidR="00CF35E3" w:rsidRDefault="00CF35E3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8C46B90" w14:textId="125F39F9" w:rsidR="00CF35E3" w:rsidRDefault="00CF35E3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A3FC3F2" w14:textId="2B4D077D" w:rsidR="00CF35E3" w:rsidRDefault="00CF35E3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FB7AEDD" w14:textId="77777777" w:rsidR="00DE12E9" w:rsidRPr="00DE12E9" w:rsidRDefault="00DE12E9" w:rsidP="00DE12E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263C0BCC" w14:textId="77777777" w:rsidR="00DE12E9" w:rsidRDefault="00DE12E9" w:rsidP="00DE12E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202EE85" w14:textId="55855190" w:rsidR="00DE12E9" w:rsidRDefault="00DE12E9" w:rsidP="00CF35E3">
      <w:pPr>
        <w:pBdr>
          <w:bottom w:val="single" w:sz="4" w:space="1" w:color="auto"/>
        </w:pBdr>
        <w:spacing w:after="0"/>
        <w:jc w:val="both"/>
        <w:rPr>
          <w:rFonts w:ascii="Arial" w:hAnsi="Arial"/>
          <w:b/>
          <w:sz w:val="24"/>
          <w:szCs w:val="24"/>
        </w:rPr>
      </w:pPr>
    </w:p>
    <w:p w14:paraId="07639E4B" w14:textId="77777777" w:rsidR="00CF35E3" w:rsidRDefault="00CF35E3" w:rsidP="006C01BA">
      <w:pPr>
        <w:jc w:val="both"/>
        <w:rPr>
          <w:rFonts w:ascii="Arial" w:hAnsi="Arial" w:cs="Arial"/>
          <w:i/>
          <w:sz w:val="18"/>
          <w:szCs w:val="18"/>
        </w:rPr>
      </w:pPr>
    </w:p>
    <w:p w14:paraId="7FEFC592" w14:textId="7A541983" w:rsidR="006C01BA" w:rsidRPr="00407F05" w:rsidRDefault="006C01BA" w:rsidP="006C01BA">
      <w:pPr>
        <w:jc w:val="both"/>
        <w:rPr>
          <w:rFonts w:ascii="Arial" w:hAnsi="Arial" w:cs="Arial"/>
          <w:i/>
          <w:sz w:val="18"/>
          <w:szCs w:val="18"/>
        </w:rPr>
      </w:pPr>
      <w:r w:rsidRPr="00B67313">
        <w:rPr>
          <w:rFonts w:ascii="Arial" w:hAnsi="Arial" w:cs="Arial"/>
          <w:i/>
          <w:sz w:val="18"/>
          <w:szCs w:val="18"/>
        </w:rPr>
        <w:t>Intesa Sanpaolo je vodeća bankarska grupa u Italiji koja servisira potrebe domaćinstava, kompanija i realne ekonomije, sa značajnim međunarodnim prisustvom. Jedinstveni poslovni model Intesa Sanpaolo grupe čini je evropskim liderom u oblastima upravljanja bogatstvom, zaštite imovine i savetodavnih usluga, sa fokusom na digitalnu sferu i finansijske tehnologije. Kao efikasna i izdržljiva banka, kao prednost ima svoje fabrike proizvoda u oblasti upravljanja imovinom i osiguranjem, koje su u celosti u njenom vlasništvu. Snažna posvećenost ESG temama grupe obuhvata pružanje 115 milijardi evra u kreditima za uticaj do 2025. zajednicama i za zelenu tranziciju, i 500 miliona evra kao podršku ljudima kojima je najpotrebnija, zbog čega je Intesa Sanpaolo pozicionirana kao svetski lider u pogledu društvenog uticaja. Intesa Sanpaolo posvećena je postizanju nultih neto emisija do 2030. u pogledu sopstvenih emisija, i do 2050. za svoj portfolio kredita i investicija. Kao angažovani pokrovitelj italijanske kulture, Intesa Sanpaolo stvorila je sopstvenu mrežu muzeja, zvanu Gallerie d’Italia, u kojoj se čuva umetničko nasleđe banke i koja služi kao lokacija za prestižne kulturne projekte.</w:t>
      </w:r>
    </w:p>
    <w:p w14:paraId="2C7B7670" w14:textId="77777777" w:rsidR="006C01BA" w:rsidRPr="00407F05" w:rsidRDefault="006C01BA" w:rsidP="006C01BA">
      <w:pPr>
        <w:jc w:val="both"/>
        <w:textAlignment w:val="baseline"/>
        <w:rPr>
          <w:rFonts w:ascii="Arial" w:eastAsia="Times New Roman" w:hAnsi="Arial" w:cs="Arial"/>
          <w:i/>
          <w:sz w:val="18"/>
          <w:szCs w:val="18"/>
        </w:rPr>
      </w:pPr>
      <w:r w:rsidRPr="00407F05">
        <w:rPr>
          <w:rFonts w:ascii="Arial" w:eastAsia="Times New Roman" w:hAnsi="Arial" w:cs="Arial"/>
          <w:i/>
          <w:sz w:val="18"/>
          <w:szCs w:val="18"/>
        </w:rPr>
        <w:t xml:space="preserve">Vesti: </w:t>
      </w:r>
      <w:hyperlink r:id="rId9" w:history="1">
        <w:r w:rsidRPr="00407F05">
          <w:rPr>
            <w:rFonts w:ascii="Arial" w:eastAsia="Times New Roman" w:hAnsi="Arial" w:cs="Arial"/>
            <w:i/>
            <w:color w:val="0563C1" w:themeColor="hyperlink"/>
            <w:sz w:val="18"/>
            <w:szCs w:val="18"/>
            <w:u w:val="single"/>
          </w:rPr>
          <w:t>group.intesasanpaolo.com/en/newsroom/news</w:t>
        </w:r>
      </w:hyperlink>
    </w:p>
    <w:p w14:paraId="177B7F08" w14:textId="77777777" w:rsidR="006C01BA" w:rsidRPr="00407F05" w:rsidRDefault="006C01BA" w:rsidP="006C01BA">
      <w:pPr>
        <w:jc w:val="both"/>
        <w:textAlignment w:val="baseline"/>
        <w:rPr>
          <w:rFonts w:ascii="Arial" w:eastAsia="Times New Roman" w:hAnsi="Arial" w:cs="Arial"/>
          <w:i/>
          <w:sz w:val="18"/>
          <w:szCs w:val="18"/>
        </w:rPr>
      </w:pPr>
      <w:r w:rsidRPr="00407F05">
        <w:rPr>
          <w:rFonts w:ascii="Arial" w:eastAsia="Times New Roman" w:hAnsi="Arial" w:cs="Arial"/>
          <w:i/>
          <w:sz w:val="18"/>
          <w:szCs w:val="18"/>
        </w:rPr>
        <w:t>Twitter: @intesasanpaolo</w:t>
      </w:r>
    </w:p>
    <w:p w14:paraId="1377A18D" w14:textId="01C2C7A4" w:rsidR="001A41B2" w:rsidRPr="006C01BA" w:rsidRDefault="006C01BA" w:rsidP="006C01BA">
      <w:pPr>
        <w:jc w:val="both"/>
        <w:textAlignment w:val="baseline"/>
        <w:rPr>
          <w:rFonts w:ascii="Arial" w:eastAsia="Times New Roman" w:hAnsi="Arial" w:cs="Arial"/>
          <w:i/>
          <w:color w:val="0563C1"/>
          <w:sz w:val="18"/>
          <w:szCs w:val="18"/>
          <w:u w:val="single"/>
        </w:rPr>
      </w:pPr>
      <w:r w:rsidRPr="00407F05">
        <w:rPr>
          <w:rFonts w:ascii="Arial" w:eastAsia="Times New Roman" w:hAnsi="Arial" w:cs="Arial"/>
          <w:i/>
          <w:sz w:val="18"/>
          <w:szCs w:val="18"/>
        </w:rPr>
        <w:t xml:space="preserve">LinkedIn: </w:t>
      </w:r>
      <w:hyperlink r:id="rId10" w:history="1">
        <w:r w:rsidRPr="00407F05">
          <w:rPr>
            <w:rFonts w:ascii="Arial" w:eastAsia="Times New Roman" w:hAnsi="Arial" w:cs="Arial"/>
            <w:i/>
            <w:color w:val="0563C1" w:themeColor="hyperlink"/>
            <w:sz w:val="18"/>
            <w:szCs w:val="18"/>
            <w:u w:val="single"/>
          </w:rPr>
          <w:t>linkedin.com/company/intesa-sanpaolo</w:t>
        </w:r>
      </w:hyperlink>
      <w:r w:rsidRPr="00407F05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sectPr w:rsidR="001A41B2" w:rsidRPr="006C01BA" w:rsidSect="00856104">
      <w:pgSz w:w="11906" w:h="17338"/>
      <w:pgMar w:top="1916" w:right="840" w:bottom="1417" w:left="11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3581" w14:textId="77777777" w:rsidR="00BA7C40" w:rsidRDefault="00BA7C40" w:rsidP="000D75F3">
      <w:pPr>
        <w:spacing w:after="0" w:line="240" w:lineRule="auto"/>
      </w:pPr>
      <w:r>
        <w:separator/>
      </w:r>
    </w:p>
  </w:endnote>
  <w:endnote w:type="continuationSeparator" w:id="0">
    <w:p w14:paraId="1819C1B4" w14:textId="77777777" w:rsidR="00BA7C40" w:rsidRDefault="00BA7C40" w:rsidP="000D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F9F2B" w14:textId="77777777" w:rsidR="00BA7C40" w:rsidRDefault="00BA7C40" w:rsidP="000D75F3">
      <w:pPr>
        <w:spacing w:after="0" w:line="240" w:lineRule="auto"/>
      </w:pPr>
      <w:r>
        <w:separator/>
      </w:r>
    </w:p>
  </w:footnote>
  <w:footnote w:type="continuationSeparator" w:id="0">
    <w:p w14:paraId="07B7C623" w14:textId="77777777" w:rsidR="00BA7C40" w:rsidRDefault="00BA7C40" w:rsidP="000D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25D52D"/>
    <w:multiLevelType w:val="hybridMultilevel"/>
    <w:tmpl w:val="D89BD4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CD591"/>
    <w:multiLevelType w:val="hybridMultilevel"/>
    <w:tmpl w:val="6826BC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2BB936"/>
    <w:multiLevelType w:val="hybridMultilevel"/>
    <w:tmpl w:val="8E682E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45A2C9"/>
    <w:multiLevelType w:val="hybridMultilevel"/>
    <w:tmpl w:val="9AB861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8C136C"/>
    <w:multiLevelType w:val="hybridMultilevel"/>
    <w:tmpl w:val="4E9049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231E1F6"/>
    <w:multiLevelType w:val="hybridMultilevel"/>
    <w:tmpl w:val="8FA991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90AF3"/>
    <w:multiLevelType w:val="hybridMultilevel"/>
    <w:tmpl w:val="982EAB9C"/>
    <w:lvl w:ilvl="0" w:tplc="241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B8A6546"/>
    <w:multiLevelType w:val="hybridMultilevel"/>
    <w:tmpl w:val="FE26BE08"/>
    <w:lvl w:ilvl="0" w:tplc="C3400F08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E96E8A"/>
    <w:multiLevelType w:val="hybridMultilevel"/>
    <w:tmpl w:val="D74E512E"/>
    <w:lvl w:ilvl="0" w:tplc="2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D90A8F"/>
    <w:multiLevelType w:val="hybridMultilevel"/>
    <w:tmpl w:val="807EFDB2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F2B44"/>
    <w:multiLevelType w:val="hybridMultilevel"/>
    <w:tmpl w:val="2FE8447C"/>
    <w:lvl w:ilvl="0" w:tplc="2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D81728"/>
    <w:multiLevelType w:val="hybridMultilevel"/>
    <w:tmpl w:val="36D85100"/>
    <w:lvl w:ilvl="0" w:tplc="2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5D62CE"/>
    <w:multiLevelType w:val="hybridMultilevel"/>
    <w:tmpl w:val="9C4A431C"/>
    <w:lvl w:ilvl="0" w:tplc="241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A501C7"/>
    <w:multiLevelType w:val="hybridMultilevel"/>
    <w:tmpl w:val="AD02C556"/>
    <w:lvl w:ilvl="0" w:tplc="241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B2611A3"/>
    <w:multiLevelType w:val="hybridMultilevel"/>
    <w:tmpl w:val="7C869A4E"/>
    <w:lvl w:ilvl="0" w:tplc="D2E05642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0D6615"/>
    <w:multiLevelType w:val="hybridMultilevel"/>
    <w:tmpl w:val="DBBEAD02"/>
    <w:lvl w:ilvl="0" w:tplc="2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BC1404"/>
    <w:multiLevelType w:val="hybridMultilevel"/>
    <w:tmpl w:val="0B38DBA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2F492F"/>
    <w:multiLevelType w:val="hybridMultilevel"/>
    <w:tmpl w:val="AE765D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5D02"/>
    <w:multiLevelType w:val="hybridMultilevel"/>
    <w:tmpl w:val="EEC6B21C"/>
    <w:lvl w:ilvl="0" w:tplc="6792A238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6951BF"/>
    <w:multiLevelType w:val="hybridMultilevel"/>
    <w:tmpl w:val="8F38D434"/>
    <w:lvl w:ilvl="0" w:tplc="2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9BF01CE"/>
    <w:multiLevelType w:val="hybridMultilevel"/>
    <w:tmpl w:val="12C522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A661450"/>
    <w:multiLevelType w:val="hybridMultilevel"/>
    <w:tmpl w:val="2EA85FF6"/>
    <w:lvl w:ilvl="0" w:tplc="2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EDDCA8B4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805EF0"/>
    <w:multiLevelType w:val="hybridMultilevel"/>
    <w:tmpl w:val="ADFE8DC2"/>
    <w:lvl w:ilvl="0" w:tplc="2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0680C7A"/>
    <w:multiLevelType w:val="hybridMultilevel"/>
    <w:tmpl w:val="6E10EEA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20620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54F30"/>
    <w:multiLevelType w:val="hybridMultilevel"/>
    <w:tmpl w:val="AFA613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6"/>
  </w:num>
  <w:num w:numId="13">
    <w:abstractNumId w:val="21"/>
  </w:num>
  <w:num w:numId="14">
    <w:abstractNumId w:val="18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 w:numId="19">
    <w:abstractNumId w:val="17"/>
  </w:num>
  <w:num w:numId="20">
    <w:abstractNumId w:val="17"/>
  </w:num>
  <w:num w:numId="21">
    <w:abstractNumId w:val="24"/>
  </w:num>
  <w:num w:numId="22">
    <w:abstractNumId w:val="16"/>
  </w:num>
  <w:num w:numId="23">
    <w:abstractNumId w:val="22"/>
  </w:num>
  <w:num w:numId="24">
    <w:abstractNumId w:val="19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BC"/>
    <w:rsid w:val="00030956"/>
    <w:rsid w:val="000503A4"/>
    <w:rsid w:val="000D75F3"/>
    <w:rsid w:val="000F210F"/>
    <w:rsid w:val="00155025"/>
    <w:rsid w:val="001668AE"/>
    <w:rsid w:val="001904DB"/>
    <w:rsid w:val="001A41B2"/>
    <w:rsid w:val="00231183"/>
    <w:rsid w:val="00257894"/>
    <w:rsid w:val="002D0489"/>
    <w:rsid w:val="003D2B84"/>
    <w:rsid w:val="003D3B9D"/>
    <w:rsid w:val="003E08AF"/>
    <w:rsid w:val="003F42B7"/>
    <w:rsid w:val="00414AAD"/>
    <w:rsid w:val="0045497E"/>
    <w:rsid w:val="00472085"/>
    <w:rsid w:val="00492A48"/>
    <w:rsid w:val="004C7A50"/>
    <w:rsid w:val="004D531A"/>
    <w:rsid w:val="004F4A9F"/>
    <w:rsid w:val="00544B56"/>
    <w:rsid w:val="0057011A"/>
    <w:rsid w:val="00580EE8"/>
    <w:rsid w:val="00582117"/>
    <w:rsid w:val="005B0F49"/>
    <w:rsid w:val="005C2A4C"/>
    <w:rsid w:val="005D437A"/>
    <w:rsid w:val="00600F19"/>
    <w:rsid w:val="006471E4"/>
    <w:rsid w:val="006617BC"/>
    <w:rsid w:val="00684400"/>
    <w:rsid w:val="006925AD"/>
    <w:rsid w:val="006C01BA"/>
    <w:rsid w:val="006F1C99"/>
    <w:rsid w:val="006F76B4"/>
    <w:rsid w:val="0071180D"/>
    <w:rsid w:val="00736A94"/>
    <w:rsid w:val="00786C1B"/>
    <w:rsid w:val="007A1529"/>
    <w:rsid w:val="007B0E20"/>
    <w:rsid w:val="007C4CF7"/>
    <w:rsid w:val="00870428"/>
    <w:rsid w:val="008A2726"/>
    <w:rsid w:val="008B4176"/>
    <w:rsid w:val="00930283"/>
    <w:rsid w:val="009A0A37"/>
    <w:rsid w:val="009E797F"/>
    <w:rsid w:val="00A1520D"/>
    <w:rsid w:val="00A35240"/>
    <w:rsid w:val="00A446CC"/>
    <w:rsid w:val="00B7286B"/>
    <w:rsid w:val="00B80599"/>
    <w:rsid w:val="00BA7C40"/>
    <w:rsid w:val="00BC7CFC"/>
    <w:rsid w:val="00BE4145"/>
    <w:rsid w:val="00C31F16"/>
    <w:rsid w:val="00C37C81"/>
    <w:rsid w:val="00C82A51"/>
    <w:rsid w:val="00CB0B21"/>
    <w:rsid w:val="00CC456B"/>
    <w:rsid w:val="00CE3F18"/>
    <w:rsid w:val="00CF35E3"/>
    <w:rsid w:val="00D56EE5"/>
    <w:rsid w:val="00D6218E"/>
    <w:rsid w:val="00D7221C"/>
    <w:rsid w:val="00D814C2"/>
    <w:rsid w:val="00DE12E9"/>
    <w:rsid w:val="00DF26BC"/>
    <w:rsid w:val="00E31728"/>
    <w:rsid w:val="00E46A5A"/>
    <w:rsid w:val="00E86837"/>
    <w:rsid w:val="00EA3DFC"/>
    <w:rsid w:val="00ED102D"/>
    <w:rsid w:val="00EF4A1E"/>
    <w:rsid w:val="00EF79AB"/>
    <w:rsid w:val="00F03C8F"/>
    <w:rsid w:val="00F4362F"/>
    <w:rsid w:val="00F65A5B"/>
    <w:rsid w:val="00F75B02"/>
    <w:rsid w:val="00F9360F"/>
    <w:rsid w:val="00FD16CF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940CD4"/>
  <w15:chartTrackingRefBased/>
  <w15:docId w15:val="{97A663A8-F87B-4D50-B18A-BB7E03E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5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C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4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F3"/>
  </w:style>
  <w:style w:type="paragraph" w:styleId="Footer">
    <w:name w:val="footer"/>
    <w:basedOn w:val="Normal"/>
    <w:link w:val="FooterChar"/>
    <w:uiPriority w:val="99"/>
    <w:unhideWhenUsed/>
    <w:rsid w:val="000D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F3"/>
  </w:style>
  <w:style w:type="paragraph" w:styleId="BodyText">
    <w:name w:val="Body Text"/>
    <w:basedOn w:val="Normal"/>
    <w:link w:val="BodyTextChar"/>
    <w:uiPriority w:val="1"/>
    <w:qFormat/>
    <w:rsid w:val="00DE12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DE12E9"/>
    <w:rPr>
      <w:rFonts w:ascii="Arial MT" w:eastAsia="Arial MT" w:hAnsi="Arial MT" w:cs="Arial MT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intesa-sanpao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oup.intesasanpaolo.com/en/newsroom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87FA234D-3AF1-4809-8E87-2DA7718BA4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Krsmanovic</dc:creator>
  <cp:keywords/>
  <dc:description/>
  <cp:lastModifiedBy>Jelena Krsmanovic</cp:lastModifiedBy>
  <cp:revision>18</cp:revision>
  <dcterms:created xsi:type="dcterms:W3CDTF">2022-08-03T09:23:00Z</dcterms:created>
  <dcterms:modified xsi:type="dcterms:W3CDTF">2023-05-08T10:01:00Z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aefbd815-7caa-4803-9cce-990a0a6b066f</vt:lpwstr>
  </property>
  <property fmtid="{D5CDD505-2E9C-101B-9397-08002B2CF9AE}" pid="3" name="bjSaver">
    <vt:lpwstr>Yswk2Z+P4WeVAdRVoAX0wKwsArwsDzpN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