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B80FB" w14:textId="1DB16D77" w:rsidR="00D97DAA" w:rsidRDefault="00D97DAA" w:rsidP="00D97DAA">
      <w:pPr>
        <w:rPr>
          <w:rFonts w:ascii="Arial" w:hAnsi="Arial" w:cs="Arial"/>
          <w:i/>
          <w:iCs/>
          <w:sz w:val="24"/>
          <w:szCs w:val="24"/>
          <w:lang w:val="sr-Latn-RS"/>
        </w:rPr>
      </w:pPr>
      <w:r>
        <w:rPr>
          <w:rFonts w:ascii="Arial" w:hAnsi="Arial" w:cs="Arial"/>
          <w:i/>
          <w:iCs/>
          <w:sz w:val="24"/>
          <w:szCs w:val="24"/>
          <w:lang w:val="sr-Latn-RS"/>
        </w:rPr>
        <w:t>SAOPŠTENJE ZA MEDIJE</w:t>
      </w:r>
    </w:p>
    <w:p w14:paraId="2310B68F" w14:textId="77777777" w:rsidR="00D97DAA" w:rsidRPr="00D97DAA" w:rsidRDefault="00D97DAA" w:rsidP="00D97DAA">
      <w:pPr>
        <w:rPr>
          <w:rFonts w:ascii="Arial" w:hAnsi="Arial" w:cs="Arial"/>
          <w:i/>
          <w:iCs/>
          <w:sz w:val="24"/>
          <w:szCs w:val="24"/>
          <w:lang w:val="sr-Latn-RS"/>
        </w:rPr>
      </w:pPr>
    </w:p>
    <w:p w14:paraId="3374BE39" w14:textId="051C15E1" w:rsidR="00A16EE6" w:rsidRPr="00693CC4" w:rsidRDefault="00A16EE6" w:rsidP="00D97DAA">
      <w:pPr>
        <w:jc w:val="center"/>
        <w:rPr>
          <w:rFonts w:ascii="Arial" w:hAnsi="Arial" w:cs="Arial"/>
          <w:b/>
          <w:bCs/>
          <w:sz w:val="28"/>
          <w:szCs w:val="28"/>
          <w:lang w:val="sr-Latn-RS"/>
        </w:rPr>
      </w:pPr>
      <w:r w:rsidRPr="00693CC4">
        <w:rPr>
          <w:rFonts w:ascii="Arial" w:hAnsi="Arial" w:cs="Arial"/>
          <w:b/>
          <w:bCs/>
          <w:sz w:val="28"/>
          <w:szCs w:val="28"/>
          <w:lang w:val="sr-Latn-RS"/>
        </w:rPr>
        <w:t>Intesa Sanpaolo ostvarila rekordne rezultate u prvom polugodištu</w:t>
      </w:r>
      <w:r w:rsidR="00D97DAA" w:rsidRPr="00693CC4">
        <w:rPr>
          <w:rFonts w:ascii="Arial" w:hAnsi="Arial" w:cs="Arial"/>
          <w:b/>
          <w:bCs/>
          <w:sz w:val="28"/>
          <w:szCs w:val="28"/>
          <w:lang w:val="sr-Latn-RS"/>
        </w:rPr>
        <w:t>,</w:t>
      </w:r>
      <w:r w:rsidRPr="00693CC4">
        <w:rPr>
          <w:rFonts w:ascii="Arial" w:hAnsi="Arial" w:cs="Arial"/>
          <w:b/>
          <w:bCs/>
          <w:sz w:val="28"/>
          <w:szCs w:val="28"/>
          <w:lang w:val="sr-Latn-RS"/>
        </w:rPr>
        <w:t xml:space="preserve"> povećala projekcije</w:t>
      </w:r>
    </w:p>
    <w:p w14:paraId="2B808908" w14:textId="77777777" w:rsidR="00B11F36" w:rsidRPr="00D97DAA" w:rsidRDefault="00B11F36" w:rsidP="00A16EE6">
      <w:pPr>
        <w:jc w:val="both"/>
        <w:rPr>
          <w:rFonts w:ascii="Arial" w:hAnsi="Arial" w:cs="Arial"/>
          <w:b/>
          <w:bCs/>
          <w:sz w:val="24"/>
          <w:szCs w:val="24"/>
          <w:lang w:val="sr-Latn-RS"/>
        </w:rPr>
      </w:pPr>
    </w:p>
    <w:p w14:paraId="20B270D8" w14:textId="6835F0E2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b/>
          <w:bCs/>
          <w:sz w:val="24"/>
          <w:szCs w:val="24"/>
          <w:lang w:val="sr-Latn-RS"/>
        </w:rPr>
        <w:t>Milano, 29. jul 2026.</w:t>
      </w:r>
      <w:r w:rsidRPr="00D97DAA">
        <w:rPr>
          <w:rFonts w:ascii="Arial" w:hAnsi="Arial" w:cs="Arial"/>
          <w:sz w:val="24"/>
          <w:szCs w:val="24"/>
          <w:lang w:val="sr-Latn-RS"/>
        </w:rPr>
        <w:t xml:space="preserve"> – </w:t>
      </w:r>
      <w:r w:rsidRPr="00D97DAA">
        <w:rPr>
          <w:rFonts w:ascii="Arial" w:hAnsi="Arial" w:cs="Arial"/>
          <w:sz w:val="24"/>
          <w:szCs w:val="24"/>
        </w:rPr>
        <w:t>Intesa Sanpaolo</w:t>
      </w:r>
      <w:r w:rsidR="00B11F36" w:rsidRPr="00D97DAA">
        <w:rPr>
          <w:rFonts w:ascii="Arial" w:hAnsi="Arial" w:cs="Arial"/>
          <w:sz w:val="24"/>
          <w:szCs w:val="24"/>
        </w:rPr>
        <w:t>, međunarodna bankarska grupacija u čijem sastavu posluje Banca Intesa,</w:t>
      </w:r>
      <w:r w:rsidRPr="00D97DAA">
        <w:rPr>
          <w:rFonts w:ascii="Arial" w:hAnsi="Arial" w:cs="Arial"/>
          <w:sz w:val="24"/>
          <w:szCs w:val="24"/>
        </w:rPr>
        <w:t xml:space="preserve"> ostvarila je najbolje polugodišnje rezultate u svojoj istoriji, uz neto dobit od 5,6 milijardi evra, što je 6% više u odnosu na isti period prethodne godine. Neto dobit u drugom tromesečju dostigla je 2,8 milijardi evra, što predstavlja najbolji kvartalni rezultat u istoriji Grupe i povećanje od 7% na godišnjem nivou.</w:t>
      </w:r>
    </w:p>
    <w:p w14:paraId="789FC3AA" w14:textId="44560B6A" w:rsidR="00A16EE6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 xml:space="preserve">Anualizovani prinos na kapital (ROE) dostigao je 20%, dok je anualizovani prinos na materijalni kapital (ROTE) iznosio 25%. Zarada po akciji (EPS) porasla je 9% na godišnjem nivou, potvrđujući sposobnost Grupe da </w:t>
      </w:r>
      <w:r w:rsidR="00B11F36" w:rsidRPr="00D97DAA">
        <w:rPr>
          <w:rFonts w:ascii="Arial" w:hAnsi="Arial" w:cs="Arial"/>
          <w:sz w:val="24"/>
          <w:szCs w:val="24"/>
          <w:lang w:val="sr-Latn-RS"/>
        </w:rPr>
        <w:t>generiše</w:t>
      </w:r>
      <w:r w:rsidRPr="00D97DAA">
        <w:rPr>
          <w:rFonts w:ascii="Arial" w:hAnsi="Arial" w:cs="Arial"/>
          <w:sz w:val="24"/>
          <w:szCs w:val="24"/>
          <w:lang w:val="sr-Latn-RS"/>
        </w:rPr>
        <w:t xml:space="preserve"> održiv rast.</w:t>
      </w:r>
    </w:p>
    <w:p w14:paraId="24224F9D" w14:textId="77777777" w:rsidR="00A16EE6" w:rsidRPr="003C5E57" w:rsidRDefault="00A16EE6" w:rsidP="00A16EE6">
      <w:pPr>
        <w:jc w:val="both"/>
        <w:rPr>
          <w:rFonts w:ascii="Arial" w:hAnsi="Arial" w:cs="Arial"/>
          <w:b/>
          <w:bCs/>
          <w:i/>
          <w:iCs/>
          <w:sz w:val="24"/>
          <w:szCs w:val="24"/>
          <w:lang w:val="sr-Latn-RS"/>
        </w:rPr>
      </w:pPr>
      <w:r w:rsidRPr="003C5E57">
        <w:rPr>
          <w:rFonts w:ascii="Arial" w:hAnsi="Arial" w:cs="Arial"/>
          <w:b/>
          <w:bCs/>
          <w:i/>
          <w:iCs/>
          <w:sz w:val="24"/>
          <w:szCs w:val="24"/>
          <w:lang w:val="sr-Latn-RS"/>
        </w:rPr>
        <w:t>Povećanje projekcija i isplate akcionarima</w:t>
      </w:r>
    </w:p>
    <w:p w14:paraId="53550171" w14:textId="77777777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>Na osnovu izuzetnih rezultata ostvarenih u prvih šest meseci, Intesa Sanpaolo je povećala projekciju neto dobiti za 2026. godinu na više od 10 milijardi evra.</w:t>
      </w:r>
    </w:p>
    <w:p w14:paraId="7F2529DC" w14:textId="77777777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>U prvih šest meseci Grupa je ostvarila značajan rast zarade po akciji, dividende po akciji i materijalne knjigovodstvene vrednosti po akciji. Privremena dividenda u iznosu od 3,8 milijardi evra biće isplaćena u novembru.</w:t>
      </w:r>
    </w:p>
    <w:p w14:paraId="4FC3C6A5" w14:textId="77777777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>Intesa Sanpaolo očekuje da će tokom 2026. godine akcionarima vratiti oko 9,4 milijarde evra kroz dividende i otkup sopstvenih akcija.</w:t>
      </w:r>
    </w:p>
    <w:p w14:paraId="24A88D2C" w14:textId="46FF3D9A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 xml:space="preserve">„Intesa Sanpaolo </w:t>
      </w:r>
      <w:r w:rsidR="00D97DAA">
        <w:rPr>
          <w:rFonts w:ascii="Arial" w:hAnsi="Arial" w:cs="Arial"/>
          <w:sz w:val="24"/>
          <w:szCs w:val="24"/>
          <w:lang w:val="sr-Latn-RS"/>
        </w:rPr>
        <w:t xml:space="preserve">se </w:t>
      </w:r>
      <w:r w:rsidRPr="00D97DAA">
        <w:rPr>
          <w:rFonts w:ascii="Arial" w:hAnsi="Arial" w:cs="Arial"/>
          <w:sz w:val="24"/>
          <w:szCs w:val="24"/>
          <w:lang w:val="sr-Latn-RS"/>
        </w:rPr>
        <w:t>i dalje svrstava među evropske banke sa najvišim nivoom prinosa za akcionare“, izjavio je Karlo Mesina</w:t>
      </w:r>
      <w:r w:rsidR="00B11F36" w:rsidRPr="00D97DAA">
        <w:rPr>
          <w:rFonts w:ascii="Arial" w:hAnsi="Arial" w:cs="Arial"/>
          <w:sz w:val="24"/>
          <w:szCs w:val="24"/>
          <w:lang w:val="sr-Latn-RS"/>
        </w:rPr>
        <w:t xml:space="preserve"> (Carlo Messina)</w:t>
      </w:r>
      <w:r w:rsidRPr="00D97DAA">
        <w:rPr>
          <w:rFonts w:ascii="Arial" w:hAnsi="Arial" w:cs="Arial"/>
          <w:sz w:val="24"/>
          <w:szCs w:val="24"/>
          <w:lang w:val="sr-Latn-RS"/>
        </w:rPr>
        <w:t>, g</w:t>
      </w:r>
      <w:r w:rsidR="00D97DAA">
        <w:rPr>
          <w:rFonts w:ascii="Arial" w:hAnsi="Arial" w:cs="Arial"/>
          <w:sz w:val="24"/>
          <w:szCs w:val="24"/>
          <w:lang w:val="sr-Latn-RS"/>
        </w:rPr>
        <w:t>eneralni</w:t>
      </w:r>
      <w:r w:rsidRPr="00D97DA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B11F36" w:rsidRPr="00D97DAA">
        <w:rPr>
          <w:rFonts w:ascii="Arial" w:hAnsi="Arial" w:cs="Arial"/>
          <w:sz w:val="24"/>
          <w:szCs w:val="24"/>
          <w:lang w:val="sr-Latn-RS"/>
        </w:rPr>
        <w:t xml:space="preserve">i </w:t>
      </w:r>
      <w:r w:rsidRPr="00D97DAA">
        <w:rPr>
          <w:rFonts w:ascii="Arial" w:hAnsi="Arial" w:cs="Arial"/>
          <w:sz w:val="24"/>
          <w:szCs w:val="24"/>
          <w:lang w:val="sr-Latn-RS"/>
        </w:rPr>
        <w:t>izvršni direktor Intesa Sanpaolo.</w:t>
      </w:r>
    </w:p>
    <w:p w14:paraId="713C93AB" w14:textId="77777777" w:rsidR="00A16EE6" w:rsidRPr="003C5E57" w:rsidRDefault="00A16EE6" w:rsidP="00A16EE6">
      <w:pPr>
        <w:jc w:val="both"/>
        <w:rPr>
          <w:rFonts w:ascii="Arial" w:hAnsi="Arial" w:cs="Arial"/>
          <w:b/>
          <w:bCs/>
          <w:i/>
          <w:iCs/>
          <w:sz w:val="24"/>
          <w:szCs w:val="24"/>
          <w:lang w:val="sr-Latn-RS"/>
        </w:rPr>
      </w:pPr>
      <w:r w:rsidRPr="003C5E57">
        <w:rPr>
          <w:rFonts w:ascii="Arial" w:hAnsi="Arial" w:cs="Arial"/>
          <w:b/>
          <w:bCs/>
          <w:i/>
          <w:iCs/>
          <w:sz w:val="24"/>
          <w:szCs w:val="24"/>
          <w:lang w:val="sr-Latn-RS"/>
        </w:rPr>
        <w:t>Rast prihoda i snažna komercijalna aktivnost</w:t>
      </w:r>
    </w:p>
    <w:p w14:paraId="3BF9FA49" w14:textId="115B34CF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>U prvom polugodištu ostvareni su rekordni prihodi, operativna marža i bruto dobit. Prihodi su porasli u svim segmentima, zahvaljujući dobro diver</w:t>
      </w:r>
      <w:r w:rsidR="003C5E57">
        <w:rPr>
          <w:rFonts w:ascii="Arial" w:hAnsi="Arial" w:cs="Arial"/>
          <w:sz w:val="24"/>
          <w:szCs w:val="24"/>
          <w:lang w:val="sr-Latn-RS"/>
        </w:rPr>
        <w:t>s</w:t>
      </w:r>
      <w:r w:rsidRPr="00D97DAA">
        <w:rPr>
          <w:rFonts w:ascii="Arial" w:hAnsi="Arial" w:cs="Arial"/>
          <w:sz w:val="24"/>
          <w:szCs w:val="24"/>
          <w:lang w:val="sr-Latn-RS"/>
        </w:rPr>
        <w:t>ifikovanom poslovnom modelu Grupe.</w:t>
      </w:r>
    </w:p>
    <w:p w14:paraId="0003A368" w14:textId="7305A9DC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 xml:space="preserve">Neto prihod od kamata povećan je u odnosu na prethodnu godinu, uprkos nižim kamatnim stopama, </w:t>
      </w:r>
      <w:r w:rsidR="00B11F36" w:rsidRPr="00D97DAA">
        <w:rPr>
          <w:rFonts w:ascii="Arial" w:hAnsi="Arial" w:cs="Arial"/>
          <w:sz w:val="24"/>
          <w:szCs w:val="24"/>
          <w:lang w:val="sr-Latn-RS"/>
        </w:rPr>
        <w:t>uz</w:t>
      </w:r>
      <w:r w:rsidRPr="00D97DAA">
        <w:rPr>
          <w:rFonts w:ascii="Arial" w:hAnsi="Arial" w:cs="Arial"/>
          <w:sz w:val="24"/>
          <w:szCs w:val="24"/>
          <w:lang w:val="sr-Latn-RS"/>
        </w:rPr>
        <w:t xml:space="preserve"> snažno ubrza</w:t>
      </w:r>
      <w:r w:rsidR="00B11F36" w:rsidRPr="00D97DAA">
        <w:rPr>
          <w:rFonts w:ascii="Arial" w:hAnsi="Arial" w:cs="Arial"/>
          <w:sz w:val="24"/>
          <w:szCs w:val="24"/>
          <w:lang w:val="sr-Latn-RS"/>
        </w:rPr>
        <w:t>nje</w:t>
      </w:r>
      <w:r w:rsidRPr="00D97DAA">
        <w:rPr>
          <w:rFonts w:ascii="Arial" w:hAnsi="Arial" w:cs="Arial"/>
          <w:sz w:val="24"/>
          <w:szCs w:val="24"/>
          <w:lang w:val="sr-Latn-RS"/>
        </w:rPr>
        <w:t xml:space="preserve"> u drugom tromesečju. Projekcija neto prihoda od kamata povećana je na znatno više od 15 milijardi evra.</w:t>
      </w:r>
    </w:p>
    <w:p w14:paraId="26A07AF0" w14:textId="468E32E4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 xml:space="preserve">Komercijalna aktivnost ostala je snažna. Krediti klijentima povećani su peto tromesečje zaredom i porasli su za 5% na godišnjem nivou, dok su depoziti </w:t>
      </w:r>
      <w:r w:rsidR="00B11F36" w:rsidRPr="00D97DAA">
        <w:rPr>
          <w:rFonts w:ascii="Arial" w:hAnsi="Arial" w:cs="Arial"/>
          <w:sz w:val="24"/>
          <w:szCs w:val="24"/>
          <w:lang w:val="sr-Latn-RS"/>
        </w:rPr>
        <w:t>ostvarili rast od</w:t>
      </w:r>
      <w:r w:rsidRPr="00D97DAA">
        <w:rPr>
          <w:rFonts w:ascii="Arial" w:hAnsi="Arial" w:cs="Arial"/>
          <w:sz w:val="24"/>
          <w:szCs w:val="24"/>
          <w:lang w:val="sr-Latn-RS"/>
        </w:rPr>
        <w:t xml:space="preserve"> 7%. Finansijska </w:t>
      </w:r>
      <w:r w:rsidR="00B11F36" w:rsidRPr="00D97DAA">
        <w:rPr>
          <w:rFonts w:ascii="Arial" w:hAnsi="Arial" w:cs="Arial"/>
          <w:sz w:val="24"/>
          <w:szCs w:val="24"/>
          <w:lang w:val="sr-Latn-RS"/>
        </w:rPr>
        <w:t>sredstva</w:t>
      </w:r>
      <w:r w:rsidRPr="00D97DAA">
        <w:rPr>
          <w:rFonts w:ascii="Arial" w:hAnsi="Arial" w:cs="Arial"/>
          <w:sz w:val="24"/>
          <w:szCs w:val="24"/>
          <w:lang w:val="sr-Latn-RS"/>
        </w:rPr>
        <w:t xml:space="preserve"> klijenata premašila </w:t>
      </w:r>
      <w:r w:rsidR="00B11F36" w:rsidRPr="00D97DAA">
        <w:rPr>
          <w:rFonts w:ascii="Arial" w:hAnsi="Arial" w:cs="Arial"/>
          <w:sz w:val="24"/>
          <w:szCs w:val="24"/>
          <w:lang w:val="sr-Latn-RS"/>
        </w:rPr>
        <w:t>su</w:t>
      </w:r>
      <w:r w:rsidRPr="00D97DAA">
        <w:rPr>
          <w:rFonts w:ascii="Arial" w:hAnsi="Arial" w:cs="Arial"/>
          <w:sz w:val="24"/>
          <w:szCs w:val="24"/>
          <w:lang w:val="sr-Latn-RS"/>
        </w:rPr>
        <w:t xml:space="preserve"> 1,5 biliona evra, pri čemu je imovina pod upravljanjem porasla za 49 milijardi evra.</w:t>
      </w:r>
    </w:p>
    <w:p w14:paraId="75991ED4" w14:textId="77777777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 xml:space="preserve">Poslovanje u oblasti upravljanja imovinom i osiguranja nastavilo je da beleži snažne rezultate, uz rekordne prihode od naknada i provizija u prvom polugodištu i drugom </w:t>
      </w:r>
      <w:r w:rsidRPr="00D97DAA">
        <w:rPr>
          <w:rFonts w:ascii="Arial" w:hAnsi="Arial" w:cs="Arial"/>
          <w:sz w:val="24"/>
          <w:szCs w:val="24"/>
          <w:lang w:val="sr-Latn-RS"/>
        </w:rPr>
        <w:lastRenderedPageBreak/>
        <w:t>tromesečju, kao i rekordne prihode od osiguranja. Prihodi od naknada i provizija porasli su za 5% u prvom polugodištu, dok su bruto prilivi u imovinu pod upravljanjem povećani za 7%.</w:t>
      </w:r>
    </w:p>
    <w:p w14:paraId="0E40AA49" w14:textId="7DCF9914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 xml:space="preserve">Savetodavne usluge Grupe nastavile su da ublažavaju uticaj tržišne volatilnosti na prihode od naknada, dok </w:t>
      </w:r>
      <w:r w:rsidR="0047706E" w:rsidRPr="00D97DAA">
        <w:rPr>
          <w:rFonts w:ascii="Arial" w:hAnsi="Arial" w:cs="Arial"/>
          <w:sz w:val="24"/>
          <w:szCs w:val="24"/>
          <w:lang w:val="sr-Latn-RS"/>
        </w:rPr>
        <w:t>sopstveni kapaciteti za razvoj</w:t>
      </w:r>
      <w:r w:rsidRPr="00D97DAA">
        <w:rPr>
          <w:rFonts w:ascii="Arial" w:hAnsi="Arial" w:cs="Arial"/>
          <w:sz w:val="24"/>
          <w:szCs w:val="24"/>
          <w:lang w:val="sr-Latn-RS"/>
        </w:rPr>
        <w:t xml:space="preserve"> finansijskih proizvoda i dalje predstavljaju jasnu konkurentsku prednost.</w:t>
      </w:r>
    </w:p>
    <w:p w14:paraId="105668B3" w14:textId="2B058CB9" w:rsidR="00B11F3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>„Obezbedili smo više od 44 milijarde evra kredita za podršku stanovništvu i privredi“, rekao je Mesina.</w:t>
      </w:r>
    </w:p>
    <w:p w14:paraId="395F7804" w14:textId="77777777" w:rsidR="00A16EE6" w:rsidRPr="003C5E57" w:rsidRDefault="00A16EE6" w:rsidP="00A16EE6">
      <w:pPr>
        <w:jc w:val="both"/>
        <w:rPr>
          <w:rFonts w:ascii="Arial" w:hAnsi="Arial" w:cs="Arial"/>
          <w:b/>
          <w:bCs/>
          <w:i/>
          <w:iCs/>
          <w:sz w:val="24"/>
          <w:szCs w:val="24"/>
          <w:lang w:val="sr-Latn-RS"/>
        </w:rPr>
      </w:pPr>
      <w:r w:rsidRPr="003C5E57">
        <w:rPr>
          <w:rFonts w:ascii="Arial" w:hAnsi="Arial" w:cs="Arial"/>
          <w:b/>
          <w:bCs/>
          <w:i/>
          <w:iCs/>
          <w:sz w:val="24"/>
          <w:szCs w:val="24"/>
          <w:lang w:val="sr-Latn-RS"/>
        </w:rPr>
        <w:t>Efikasnost, kvalitet aktive i kapital</w:t>
      </w:r>
    </w:p>
    <w:p w14:paraId="1E8C07FF" w14:textId="77777777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>Pokazatelj odnosa troškova i prihoda iznosio je 35,9%, što je najniži nivo ikada, između ostalog zahvaljujući ulaganjima u tehnologiju koja već daju jasne rezultate. Operativni troškovi smanjeni su za 1% u odnosu na isti period prethodne godine.</w:t>
      </w:r>
    </w:p>
    <w:p w14:paraId="7D1B939B" w14:textId="77777777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>Tehnološka transformacija pruža dodatnu fleksibilnost za smanjenje troškova i ubrzavanje generacijske smene zaposlenih, bez socijalnih posledica i bez uticaja na prihode.</w:t>
      </w:r>
    </w:p>
    <w:p w14:paraId="25FA9693" w14:textId="3400C697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>Anualizovani trošak kreditnog rizika iznosio je 20 baznih poena, uz značajno povećanje nivoa pokrića i bez oslobađanja prethodno formiranih dodatnih rezervisanja. Grupa nije zabeležila znake pogoršanja kvaliteta aktive.</w:t>
      </w:r>
    </w:p>
    <w:p w14:paraId="196F4339" w14:textId="7BCE0460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>Prilivi novih problematičnih kredita bili su na istorijski n</w:t>
      </w:r>
      <w:r w:rsidR="0047706E" w:rsidRPr="00D97DAA">
        <w:rPr>
          <w:rFonts w:ascii="Arial" w:hAnsi="Arial" w:cs="Arial"/>
          <w:sz w:val="24"/>
          <w:szCs w:val="24"/>
          <w:lang w:val="sr-Latn-RS"/>
        </w:rPr>
        <w:t>ajnižem</w:t>
      </w:r>
      <w:r w:rsidRPr="00D97DAA">
        <w:rPr>
          <w:rFonts w:ascii="Arial" w:hAnsi="Arial" w:cs="Arial"/>
          <w:sz w:val="24"/>
          <w:szCs w:val="24"/>
          <w:lang w:val="sr-Latn-RS"/>
        </w:rPr>
        <w:t xml:space="preserve"> nivou, loši kredit</w:t>
      </w:r>
      <w:r w:rsidR="0047706E" w:rsidRPr="00D97DAA">
        <w:rPr>
          <w:rFonts w:ascii="Arial" w:hAnsi="Arial" w:cs="Arial"/>
          <w:sz w:val="24"/>
          <w:szCs w:val="24"/>
          <w:lang w:val="sr-Latn-RS"/>
        </w:rPr>
        <w:t>i</w:t>
      </w:r>
      <w:r w:rsidRPr="00D97DAA">
        <w:rPr>
          <w:rFonts w:ascii="Arial" w:hAnsi="Arial" w:cs="Arial"/>
          <w:sz w:val="24"/>
          <w:szCs w:val="24"/>
          <w:lang w:val="sr-Latn-RS"/>
        </w:rPr>
        <w:t xml:space="preserve"> smanjen</w:t>
      </w:r>
      <w:r w:rsidR="003C5E57">
        <w:rPr>
          <w:rFonts w:ascii="Arial" w:hAnsi="Arial" w:cs="Arial"/>
          <w:sz w:val="24"/>
          <w:szCs w:val="24"/>
          <w:lang w:val="sr-Latn-RS"/>
        </w:rPr>
        <w:t>i</w:t>
      </w:r>
      <w:r w:rsidR="0047706E" w:rsidRPr="00D97DAA">
        <w:rPr>
          <w:rFonts w:ascii="Arial" w:hAnsi="Arial" w:cs="Arial"/>
          <w:sz w:val="24"/>
          <w:szCs w:val="24"/>
          <w:lang w:val="sr-Latn-RS"/>
        </w:rPr>
        <w:t xml:space="preserve"> su</w:t>
      </w:r>
      <w:r w:rsidRPr="00D97DAA">
        <w:rPr>
          <w:rFonts w:ascii="Arial" w:hAnsi="Arial" w:cs="Arial"/>
          <w:sz w:val="24"/>
          <w:szCs w:val="24"/>
          <w:lang w:val="sr-Latn-RS"/>
        </w:rPr>
        <w:t xml:space="preserve"> gotovo na nulu, a kreditni portfolio </w:t>
      </w:r>
      <w:r w:rsidR="003C5E57">
        <w:rPr>
          <w:rFonts w:ascii="Arial" w:hAnsi="Arial" w:cs="Arial"/>
          <w:sz w:val="24"/>
          <w:szCs w:val="24"/>
          <w:lang w:val="sr-Latn-RS"/>
        </w:rPr>
        <w:t xml:space="preserve">je </w:t>
      </w:r>
      <w:r w:rsidRPr="00D97DAA">
        <w:rPr>
          <w:rFonts w:ascii="Arial" w:hAnsi="Arial" w:cs="Arial"/>
          <w:sz w:val="24"/>
          <w:szCs w:val="24"/>
          <w:lang w:val="sr-Latn-RS"/>
        </w:rPr>
        <w:t>ostao dobro diver</w:t>
      </w:r>
      <w:r w:rsidR="003C5E57">
        <w:rPr>
          <w:rFonts w:ascii="Arial" w:hAnsi="Arial" w:cs="Arial"/>
          <w:sz w:val="24"/>
          <w:szCs w:val="24"/>
          <w:lang w:val="sr-Latn-RS"/>
        </w:rPr>
        <w:t>s</w:t>
      </w:r>
      <w:r w:rsidRPr="00D97DAA">
        <w:rPr>
          <w:rFonts w:ascii="Arial" w:hAnsi="Arial" w:cs="Arial"/>
          <w:sz w:val="24"/>
          <w:szCs w:val="24"/>
          <w:lang w:val="sr-Latn-RS"/>
        </w:rPr>
        <w:t>ifikovan.</w:t>
      </w:r>
    </w:p>
    <w:p w14:paraId="5C728F90" w14:textId="77777777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>Stopa osnovnog akcijskog kapitala, CET1, iznosila je 13,1%, odnosno 13,8% kada se uključi efekat korišćenja odložene poreske aktive. Pokazatelji minimalnog zahteva za sopstvena sredstva i prihvatljive obaveze, MREL, bili su među najboljima u sektoru, dok su pokazatelji likvidnosti ostali znatno iznad ciljeva utvrđenih Poslovnim planom.</w:t>
      </w:r>
    </w:p>
    <w:p w14:paraId="31FA6772" w14:textId="3EFA5AD7" w:rsidR="00A16EE6" w:rsidRPr="00936F6F" w:rsidRDefault="0047706E" w:rsidP="00A16EE6">
      <w:pPr>
        <w:jc w:val="both"/>
        <w:rPr>
          <w:rFonts w:ascii="Arial" w:hAnsi="Arial" w:cs="Arial"/>
          <w:b/>
          <w:bCs/>
          <w:i/>
          <w:iCs/>
          <w:sz w:val="24"/>
          <w:szCs w:val="24"/>
          <w:lang w:val="sr-Latn-RS"/>
        </w:rPr>
      </w:pPr>
      <w:r w:rsidRPr="00936F6F">
        <w:rPr>
          <w:rFonts w:ascii="Arial" w:hAnsi="Arial" w:cs="Arial"/>
          <w:b/>
          <w:bCs/>
          <w:i/>
          <w:iCs/>
          <w:sz w:val="24"/>
          <w:szCs w:val="24"/>
          <w:lang w:val="sr-Latn-RS"/>
        </w:rPr>
        <w:t xml:space="preserve">Ponuda za preuzimanje </w:t>
      </w:r>
      <w:r w:rsidR="00A16EE6" w:rsidRPr="00936F6F">
        <w:rPr>
          <w:rFonts w:ascii="Arial" w:hAnsi="Arial" w:cs="Arial"/>
          <w:b/>
          <w:bCs/>
          <w:i/>
          <w:iCs/>
          <w:sz w:val="24"/>
          <w:szCs w:val="24"/>
          <w:lang w:val="sr-Latn-RS"/>
        </w:rPr>
        <w:t>bank</w:t>
      </w:r>
      <w:r w:rsidRPr="00936F6F">
        <w:rPr>
          <w:rFonts w:ascii="Arial" w:hAnsi="Arial" w:cs="Arial"/>
          <w:b/>
          <w:bCs/>
          <w:i/>
          <w:iCs/>
          <w:sz w:val="24"/>
          <w:szCs w:val="24"/>
          <w:lang w:val="sr-Latn-RS"/>
        </w:rPr>
        <w:t>e</w:t>
      </w:r>
      <w:r w:rsidR="00A16EE6" w:rsidRPr="00936F6F">
        <w:rPr>
          <w:rFonts w:ascii="Arial" w:hAnsi="Arial" w:cs="Arial"/>
          <w:b/>
          <w:bCs/>
          <w:i/>
          <w:iCs/>
          <w:sz w:val="24"/>
          <w:szCs w:val="24"/>
          <w:lang w:val="sr-Latn-RS"/>
        </w:rPr>
        <w:t xml:space="preserve"> Monte dei Paschi di Siena</w:t>
      </w:r>
    </w:p>
    <w:p w14:paraId="6E5F5BF9" w14:textId="73A5CB6B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>Ponuda za</w:t>
      </w:r>
      <w:r w:rsidR="00936F6F">
        <w:rPr>
          <w:rFonts w:ascii="Arial" w:hAnsi="Arial" w:cs="Arial"/>
          <w:sz w:val="24"/>
          <w:szCs w:val="24"/>
          <w:lang w:val="sr-Latn-RS"/>
        </w:rPr>
        <w:t xml:space="preserve"> banku</w:t>
      </w:r>
      <w:r w:rsidRPr="00D97DAA">
        <w:rPr>
          <w:rFonts w:ascii="Arial" w:hAnsi="Arial" w:cs="Arial"/>
          <w:sz w:val="24"/>
          <w:szCs w:val="24"/>
          <w:lang w:val="sr-Latn-RS"/>
        </w:rPr>
        <w:t xml:space="preserve"> Monte dei Paschi odvija se u skladu sa planom. Transakcija predstavlja značajan faktor ubrzanja realizacije Poslovnog plana i proširiće bazu klijenata Intesa Sanpaolo za šest miliona, uz istovremeno jačanje pozicije Grupe u potrošačkom finansiranju, kao i u korporativnom i investicionom bankarstvu, oslanjajući se na međunarodno prisustvo Mediobanca.</w:t>
      </w:r>
    </w:p>
    <w:p w14:paraId="5B585E4F" w14:textId="211EF48E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 xml:space="preserve">„Naš cilj je da zajedno stvorimo još snažniju i profitabilniju Grupu, koja će imati vodeću ulogu u sve složenijem globalnom okruženju“, </w:t>
      </w:r>
      <w:r w:rsidR="00936F6F">
        <w:rPr>
          <w:rFonts w:ascii="Arial" w:hAnsi="Arial" w:cs="Arial"/>
          <w:sz w:val="24"/>
          <w:szCs w:val="24"/>
          <w:lang w:val="sr-Latn-RS"/>
        </w:rPr>
        <w:t>istakao</w:t>
      </w:r>
      <w:r w:rsidRPr="00D97DAA">
        <w:rPr>
          <w:rFonts w:ascii="Arial" w:hAnsi="Arial" w:cs="Arial"/>
          <w:sz w:val="24"/>
          <w:szCs w:val="24"/>
          <w:lang w:val="sr-Latn-RS"/>
        </w:rPr>
        <w:t xml:space="preserve"> je Mesina.</w:t>
      </w:r>
    </w:p>
    <w:p w14:paraId="6826EA78" w14:textId="77777777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>Intesa Sanpaolo očekuje da ostvari sinergije u iznosu od 2,9 milijardi evra, oslanjajući se na svoje dokazane sposobnosti u sprovođenju integracija i na svoju informaciono-tehnološku platformu. Očekuje se da će transakcija omogućiti Grupi da ciljeve Poslovnog plana ostvari tri godine ranije i da do 2029. godine dostigne 2 biliona evra finansijske aktive klijenata.</w:t>
      </w:r>
    </w:p>
    <w:p w14:paraId="37FDDB68" w14:textId="77777777" w:rsidR="00A16EE6" w:rsidRPr="00D97DAA" w:rsidRDefault="00A16EE6" w:rsidP="00A16EE6">
      <w:pPr>
        <w:jc w:val="both"/>
        <w:rPr>
          <w:rFonts w:ascii="Arial" w:hAnsi="Arial" w:cs="Arial"/>
          <w:sz w:val="24"/>
          <w:szCs w:val="24"/>
          <w:lang w:val="sr-Latn-R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>„Naš program zapošljavanja predviđa dolazak 13.100 mladih ljudi u Grupu“, dodao je Mesina.</w:t>
      </w:r>
    </w:p>
    <w:p w14:paraId="33CC4983" w14:textId="5D3820EA" w:rsidR="0047706E" w:rsidRPr="00A26DB1" w:rsidRDefault="00A16EE6" w:rsidP="005466E3">
      <w:pPr>
        <w:jc w:val="both"/>
        <w:rPr>
          <w:rFonts w:ascii="Times New Roman" w:hAnsi="Times New Roman" w:cs="Times New Roman"/>
          <w:lang w:val="en-US"/>
        </w:rPr>
      </w:pPr>
      <w:r w:rsidRPr="00D97DAA">
        <w:rPr>
          <w:rFonts w:ascii="Arial" w:hAnsi="Arial" w:cs="Arial"/>
          <w:sz w:val="24"/>
          <w:szCs w:val="24"/>
          <w:lang w:val="sr-Latn-RS"/>
        </w:rPr>
        <w:t>Kao rezultat toga, Grupa očekuje da će 2029. godine ostvariti neto dobit veću od 16 milijardi evra, uz snažan rast zarade po akciji, dividende po akciji i raspodele kapitala po akciji, bez rizika povezanih sa integracijom.</w:t>
      </w:r>
    </w:p>
    <w:p w14:paraId="248DE378" w14:textId="77777777" w:rsidR="00A16EE6" w:rsidRDefault="00A16EE6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252983A8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293D7335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12C14196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150FE164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31C32CC5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3CBFAB38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60AD71E7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4B2B5275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27C3EC0E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28C6C7F3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0793E007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36DF4A52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51329CC4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413F1799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3D10A795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033C93D8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190A862A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2AF19A1A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63B82B11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154CAC26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54B9AFE7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375F8000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0C91CC36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160874E6" w14:textId="77777777" w:rsidR="00693CC4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254BF1D9" w14:textId="77777777" w:rsidR="00693CC4" w:rsidRDefault="00693CC4" w:rsidP="00107622">
      <w:pPr>
        <w:pStyle w:val="Default"/>
        <w:pBdr>
          <w:top w:val="single" w:sz="4" w:space="1" w:color="auto"/>
        </w:pBdr>
        <w:jc w:val="both"/>
        <w:rPr>
          <w:rFonts w:ascii="Arial" w:hAnsi="Arial" w:cs="Arial"/>
          <w:i/>
          <w:sz w:val="16"/>
          <w:szCs w:val="16"/>
        </w:rPr>
      </w:pPr>
      <w:r w:rsidRPr="004F2DAB">
        <w:rPr>
          <w:rFonts w:ascii="Arial" w:hAnsi="Arial" w:cs="Arial"/>
          <w:b/>
          <w:bCs/>
          <w:i/>
          <w:sz w:val="16"/>
          <w:szCs w:val="16"/>
        </w:rPr>
        <w:t>Intesa Sanpaolo</w:t>
      </w:r>
      <w:r w:rsidRPr="004F2DAB">
        <w:rPr>
          <w:rFonts w:ascii="Arial" w:hAnsi="Arial" w:cs="Arial"/>
          <w:i/>
          <w:sz w:val="16"/>
          <w:szCs w:val="16"/>
        </w:rPr>
        <w:t>, sa 4</w:t>
      </w:r>
      <w:r>
        <w:rPr>
          <w:rFonts w:ascii="Arial" w:hAnsi="Arial" w:cs="Arial"/>
          <w:i/>
          <w:sz w:val="16"/>
          <w:szCs w:val="16"/>
        </w:rPr>
        <w:t>30</w:t>
      </w:r>
      <w:r w:rsidRPr="004F2DAB">
        <w:rPr>
          <w:rFonts w:ascii="Arial" w:hAnsi="Arial" w:cs="Arial"/>
          <w:i/>
          <w:sz w:val="16"/>
          <w:szCs w:val="16"/>
        </w:rPr>
        <w:t xml:space="preserve"> milijard</w:t>
      </w:r>
      <w:r>
        <w:rPr>
          <w:rFonts w:ascii="Arial" w:hAnsi="Arial" w:cs="Arial"/>
          <w:i/>
          <w:sz w:val="16"/>
          <w:szCs w:val="16"/>
        </w:rPr>
        <w:t>i</w:t>
      </w:r>
      <w:r w:rsidRPr="004F2DAB">
        <w:rPr>
          <w:rFonts w:ascii="Arial" w:hAnsi="Arial" w:cs="Arial"/>
          <w:i/>
          <w:sz w:val="16"/>
          <w:szCs w:val="16"/>
        </w:rPr>
        <w:t xml:space="preserve"> evra u kreditima i </w:t>
      </w:r>
      <w:r>
        <w:rPr>
          <w:rFonts w:ascii="Arial" w:hAnsi="Arial" w:cs="Arial"/>
          <w:i/>
          <w:sz w:val="16"/>
          <w:szCs w:val="16"/>
        </w:rPr>
        <w:t xml:space="preserve">preko </w:t>
      </w:r>
      <w:r w:rsidRPr="004F2DAB">
        <w:rPr>
          <w:rFonts w:ascii="Arial" w:hAnsi="Arial" w:cs="Arial"/>
          <w:i/>
          <w:sz w:val="16"/>
          <w:szCs w:val="16"/>
        </w:rPr>
        <w:t xml:space="preserve">1,4 biliona evra finansijske imovine klijenata na kraju </w:t>
      </w:r>
      <w:r>
        <w:rPr>
          <w:rFonts w:ascii="Arial" w:hAnsi="Arial" w:cs="Arial"/>
          <w:i/>
          <w:sz w:val="16"/>
          <w:szCs w:val="16"/>
        </w:rPr>
        <w:t xml:space="preserve">marta </w:t>
      </w:r>
      <w:r w:rsidRPr="004F2DAB">
        <w:rPr>
          <w:rFonts w:ascii="Arial" w:hAnsi="Arial" w:cs="Arial"/>
          <w:i/>
          <w:sz w:val="16"/>
          <w:szCs w:val="16"/>
        </w:rPr>
        <w:t>202</w:t>
      </w:r>
      <w:r>
        <w:rPr>
          <w:rFonts w:ascii="Arial" w:hAnsi="Arial" w:cs="Arial"/>
          <w:i/>
          <w:sz w:val="16"/>
          <w:szCs w:val="16"/>
        </w:rPr>
        <w:t>6</w:t>
      </w:r>
      <w:r w:rsidRPr="004F2DAB">
        <w:rPr>
          <w:rFonts w:ascii="Arial" w:hAnsi="Arial" w:cs="Arial"/>
          <w:i/>
          <w:sz w:val="16"/>
          <w:szCs w:val="16"/>
        </w:rPr>
        <w:t xml:space="preserve">. godine, najveća je bankarska grupa u Italiji, sa značajnim međunarodnim prisustvom. </w:t>
      </w:r>
      <w:r w:rsidRPr="00867FBD">
        <w:rPr>
          <w:rFonts w:ascii="Arial" w:hAnsi="Arial" w:cs="Arial"/>
          <w:i/>
          <w:sz w:val="16"/>
          <w:szCs w:val="16"/>
        </w:rPr>
        <w:t>Lider je u Evropi u upravljanju imovinom i posluje kroz integrisanu platformu za upravljanje imovinom, zaštitu i savetovanje, zasnovanu na potpuno sopstvenim proizvodnim kapacitetima i distributivnim mrežama koje rade pod punom strateškom kontrolom.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867FBD">
        <w:rPr>
          <w:rFonts w:ascii="Arial" w:hAnsi="Arial" w:cs="Arial"/>
          <w:i/>
          <w:sz w:val="16"/>
          <w:szCs w:val="16"/>
        </w:rPr>
        <w:t>Sa pozicijom svetske klase u oblasti društvenog uticaja, Intesa Sanpaolo je takođe posvećena dekarbonizaciji i podršci klijentima u održivoj tranziciji. Mreža muzeja Banke, Gallerie d’Italia, čuva njeno sopstveno umetničko nasleđe i kulturne projekte priznate vrednosti.</w:t>
      </w:r>
    </w:p>
    <w:p w14:paraId="6D89D62A" w14:textId="77777777" w:rsidR="00693CC4" w:rsidRDefault="00693CC4" w:rsidP="00693CC4">
      <w:pPr>
        <w:pStyle w:val="Default"/>
        <w:jc w:val="both"/>
        <w:rPr>
          <w:rFonts w:ascii="Arial" w:hAnsi="Arial" w:cs="Arial"/>
          <w:i/>
          <w:sz w:val="16"/>
          <w:szCs w:val="16"/>
        </w:rPr>
      </w:pPr>
    </w:p>
    <w:p w14:paraId="5BE9FC45" w14:textId="77777777" w:rsidR="00693CC4" w:rsidRPr="00867FBD" w:rsidRDefault="00693CC4" w:rsidP="00693CC4">
      <w:pPr>
        <w:pStyle w:val="Default"/>
        <w:jc w:val="both"/>
        <w:rPr>
          <w:rFonts w:ascii="Arial" w:hAnsi="Arial" w:cs="Arial"/>
          <w:i/>
          <w:sz w:val="16"/>
          <w:szCs w:val="16"/>
        </w:rPr>
      </w:pPr>
      <w:r w:rsidRPr="00867FBD">
        <w:rPr>
          <w:rFonts w:ascii="Arial" w:hAnsi="Arial" w:cs="Arial"/>
          <w:sz w:val="16"/>
          <w:szCs w:val="16"/>
        </w:rPr>
        <w:t xml:space="preserve">News: group.intesasanpaolo.com/en/newsroom </w:t>
      </w:r>
    </w:p>
    <w:p w14:paraId="3A7FDC60" w14:textId="77777777" w:rsidR="00693CC4" w:rsidRDefault="00693CC4" w:rsidP="00693CC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67FBD">
        <w:rPr>
          <w:rFonts w:ascii="Arial" w:hAnsi="Arial" w:cs="Arial"/>
          <w:sz w:val="16"/>
          <w:szCs w:val="16"/>
        </w:rPr>
        <w:t>X: @intesasanpaolo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6362BA3" w14:textId="77777777" w:rsidR="00693CC4" w:rsidRPr="00867FBD" w:rsidRDefault="00693CC4" w:rsidP="00693CC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67FBD">
        <w:rPr>
          <w:rFonts w:ascii="Arial" w:hAnsi="Arial" w:cs="Arial"/>
          <w:sz w:val="16"/>
          <w:szCs w:val="16"/>
        </w:rPr>
        <w:t>LinkedIn: linkedin.com/company/intesa-sanpaolo</w:t>
      </w:r>
    </w:p>
    <w:p w14:paraId="12B42DC1" w14:textId="77777777" w:rsidR="00693CC4" w:rsidRPr="00B11F36" w:rsidRDefault="00693CC4" w:rsidP="00012187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sectPr w:rsidR="00693CC4" w:rsidRPr="00B11F3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BC126" w14:textId="77777777" w:rsidR="00794616" w:rsidRDefault="00794616" w:rsidP="00C313CA">
      <w:pPr>
        <w:spacing w:after="0" w:line="240" w:lineRule="auto"/>
      </w:pPr>
      <w:r>
        <w:separator/>
      </w:r>
    </w:p>
  </w:endnote>
  <w:endnote w:type="continuationSeparator" w:id="0">
    <w:p w14:paraId="379FBD1D" w14:textId="77777777" w:rsidR="00794616" w:rsidRDefault="00794616" w:rsidP="00C31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7355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B1D877" w14:textId="3A2E5CC8" w:rsidR="00413714" w:rsidRDefault="00413714">
        <w:pPr>
          <w:pStyle w:val="Footer"/>
          <w:jc w:val="center"/>
        </w:pPr>
        <w:r w:rsidRPr="00413714">
          <w:rPr>
            <w:sz w:val="18"/>
            <w:szCs w:val="18"/>
          </w:rPr>
          <w:fldChar w:fldCharType="begin"/>
        </w:r>
        <w:r w:rsidRPr="00413714">
          <w:rPr>
            <w:sz w:val="18"/>
            <w:szCs w:val="18"/>
          </w:rPr>
          <w:instrText xml:space="preserve"> PAGE   \* MERGEFORMAT </w:instrText>
        </w:r>
        <w:r w:rsidRPr="00413714">
          <w:rPr>
            <w:sz w:val="18"/>
            <w:szCs w:val="18"/>
          </w:rPr>
          <w:fldChar w:fldCharType="separate"/>
        </w:r>
        <w:r w:rsidRPr="00413714">
          <w:rPr>
            <w:noProof/>
            <w:sz w:val="18"/>
            <w:szCs w:val="18"/>
          </w:rPr>
          <w:t>2</w:t>
        </w:r>
        <w:r w:rsidRPr="00413714">
          <w:rPr>
            <w:noProof/>
            <w:sz w:val="18"/>
            <w:szCs w:val="18"/>
          </w:rPr>
          <w:fldChar w:fldCharType="end"/>
        </w:r>
        <w:r w:rsidRPr="00413714">
          <w:rPr>
            <w:noProof/>
            <w:sz w:val="18"/>
            <w:szCs w:val="18"/>
          </w:rPr>
          <w:t>/2</w:t>
        </w:r>
      </w:p>
    </w:sdtContent>
  </w:sdt>
  <w:p w14:paraId="552E85FB" w14:textId="77777777" w:rsidR="00830D20" w:rsidRDefault="00830D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DBAE9" w14:textId="77777777" w:rsidR="00794616" w:rsidRDefault="00794616" w:rsidP="00C313CA">
      <w:pPr>
        <w:spacing w:after="0" w:line="240" w:lineRule="auto"/>
      </w:pPr>
      <w:r>
        <w:separator/>
      </w:r>
    </w:p>
  </w:footnote>
  <w:footnote w:type="continuationSeparator" w:id="0">
    <w:p w14:paraId="44617C93" w14:textId="77777777" w:rsidR="00794616" w:rsidRDefault="00794616" w:rsidP="00C31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AAC2" w14:textId="361E13DF" w:rsidR="00C313CA" w:rsidRDefault="00C313CA">
    <w:pPr>
      <w:pStyle w:val="Header"/>
    </w:pPr>
    <w:r w:rsidRPr="00BF0F48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0CDF9A8" wp14:editId="7DA5898E">
          <wp:simplePos x="0" y="0"/>
          <wp:positionH relativeFrom="column">
            <wp:posOffset>0</wp:posOffset>
          </wp:positionH>
          <wp:positionV relativeFrom="paragraph">
            <wp:posOffset>-1270</wp:posOffset>
          </wp:positionV>
          <wp:extent cx="2604135" cy="270510"/>
          <wp:effectExtent l="0" t="0" r="5715" b="0"/>
          <wp:wrapTight wrapText="right">
            <wp:wrapPolygon edited="0">
              <wp:start x="0" y="0"/>
              <wp:lineTo x="0" y="19775"/>
              <wp:lineTo x="21489" y="19775"/>
              <wp:lineTo x="21489" y="0"/>
              <wp:lineTo x="0" y="0"/>
            </wp:wrapPolygon>
          </wp:wrapTight>
          <wp:docPr id="11" name="Immagine 11" descr="INTESA_SANPAOLO_CO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04135" cy="27051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FC63FE" w14:textId="220B23BB" w:rsidR="00C313CA" w:rsidRDefault="00C313CA">
    <w:pPr>
      <w:pStyle w:val="Header"/>
    </w:pPr>
  </w:p>
  <w:p w14:paraId="5BBC7150" w14:textId="77777777" w:rsidR="00C313CA" w:rsidRDefault="00C313CA">
    <w:pPr>
      <w:pStyle w:val="Header"/>
    </w:pPr>
  </w:p>
  <w:p w14:paraId="44C173F4" w14:textId="77777777" w:rsidR="00D967AC" w:rsidRDefault="00D967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A3643"/>
    <w:multiLevelType w:val="hybridMultilevel"/>
    <w:tmpl w:val="C43494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59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3CA"/>
    <w:rsid w:val="0000182C"/>
    <w:rsid w:val="00004490"/>
    <w:rsid w:val="00004E1A"/>
    <w:rsid w:val="00005CAE"/>
    <w:rsid w:val="00012187"/>
    <w:rsid w:val="00013B31"/>
    <w:rsid w:val="00027A9A"/>
    <w:rsid w:val="0003209E"/>
    <w:rsid w:val="0003284C"/>
    <w:rsid w:val="00034E27"/>
    <w:rsid w:val="00037B11"/>
    <w:rsid w:val="00043AE0"/>
    <w:rsid w:val="00044F35"/>
    <w:rsid w:val="0005043B"/>
    <w:rsid w:val="000523B8"/>
    <w:rsid w:val="0006627D"/>
    <w:rsid w:val="00072F2D"/>
    <w:rsid w:val="00075EE3"/>
    <w:rsid w:val="00087FC8"/>
    <w:rsid w:val="000A59B8"/>
    <w:rsid w:val="000B269E"/>
    <w:rsid w:val="000B331F"/>
    <w:rsid w:val="000C31BC"/>
    <w:rsid w:val="000E53A6"/>
    <w:rsid w:val="000E62C7"/>
    <w:rsid w:val="000F1DBA"/>
    <w:rsid w:val="000F2281"/>
    <w:rsid w:val="00107622"/>
    <w:rsid w:val="00114167"/>
    <w:rsid w:val="00124BFC"/>
    <w:rsid w:val="00136486"/>
    <w:rsid w:val="00143914"/>
    <w:rsid w:val="001461DC"/>
    <w:rsid w:val="001547F7"/>
    <w:rsid w:val="00177E47"/>
    <w:rsid w:val="0019091C"/>
    <w:rsid w:val="00192A2D"/>
    <w:rsid w:val="001B03DA"/>
    <w:rsid w:val="001B0A57"/>
    <w:rsid w:val="001B4D10"/>
    <w:rsid w:val="001C0750"/>
    <w:rsid w:val="001E1AAE"/>
    <w:rsid w:val="001E1E28"/>
    <w:rsid w:val="001F0068"/>
    <w:rsid w:val="001F3D1C"/>
    <w:rsid w:val="00200CDC"/>
    <w:rsid w:val="00210874"/>
    <w:rsid w:val="0021095F"/>
    <w:rsid w:val="00222C3C"/>
    <w:rsid w:val="00227818"/>
    <w:rsid w:val="00237258"/>
    <w:rsid w:val="0024124B"/>
    <w:rsid w:val="00241EFC"/>
    <w:rsid w:val="00242986"/>
    <w:rsid w:val="0024514F"/>
    <w:rsid w:val="00245CFD"/>
    <w:rsid w:val="0024713E"/>
    <w:rsid w:val="00251C3B"/>
    <w:rsid w:val="00252996"/>
    <w:rsid w:val="002612F8"/>
    <w:rsid w:val="002671E9"/>
    <w:rsid w:val="00270F0F"/>
    <w:rsid w:val="00280100"/>
    <w:rsid w:val="00280D4B"/>
    <w:rsid w:val="00281845"/>
    <w:rsid w:val="00285C8F"/>
    <w:rsid w:val="0028661A"/>
    <w:rsid w:val="00290892"/>
    <w:rsid w:val="002917AE"/>
    <w:rsid w:val="00292DDE"/>
    <w:rsid w:val="00296E90"/>
    <w:rsid w:val="002A75CC"/>
    <w:rsid w:val="002B0A76"/>
    <w:rsid w:val="002B78B9"/>
    <w:rsid w:val="002D1F63"/>
    <w:rsid w:val="002D2810"/>
    <w:rsid w:val="002E17F1"/>
    <w:rsid w:val="002E3B41"/>
    <w:rsid w:val="002F4343"/>
    <w:rsid w:val="002F4DA1"/>
    <w:rsid w:val="0030580E"/>
    <w:rsid w:val="00314464"/>
    <w:rsid w:val="003177F0"/>
    <w:rsid w:val="003254CB"/>
    <w:rsid w:val="003279CF"/>
    <w:rsid w:val="00333D16"/>
    <w:rsid w:val="00340C48"/>
    <w:rsid w:val="003457DC"/>
    <w:rsid w:val="00355360"/>
    <w:rsid w:val="00380B10"/>
    <w:rsid w:val="00380FF0"/>
    <w:rsid w:val="003827CB"/>
    <w:rsid w:val="003913B9"/>
    <w:rsid w:val="003A6179"/>
    <w:rsid w:val="003B5370"/>
    <w:rsid w:val="003B6A89"/>
    <w:rsid w:val="003C5E57"/>
    <w:rsid w:val="003D0340"/>
    <w:rsid w:val="003D171B"/>
    <w:rsid w:val="003E1522"/>
    <w:rsid w:val="003E3687"/>
    <w:rsid w:val="003E56D1"/>
    <w:rsid w:val="003F4FB9"/>
    <w:rsid w:val="004000FA"/>
    <w:rsid w:val="00404E76"/>
    <w:rsid w:val="0041087D"/>
    <w:rsid w:val="00413714"/>
    <w:rsid w:val="00416367"/>
    <w:rsid w:val="0042067D"/>
    <w:rsid w:val="0042707C"/>
    <w:rsid w:val="00436F96"/>
    <w:rsid w:val="00437993"/>
    <w:rsid w:val="004410C1"/>
    <w:rsid w:val="0044526B"/>
    <w:rsid w:val="00453A00"/>
    <w:rsid w:val="00464B63"/>
    <w:rsid w:val="0047706E"/>
    <w:rsid w:val="00480378"/>
    <w:rsid w:val="0048047D"/>
    <w:rsid w:val="004A67F4"/>
    <w:rsid w:val="004A7F15"/>
    <w:rsid w:val="004B51A9"/>
    <w:rsid w:val="004B621D"/>
    <w:rsid w:val="004C6882"/>
    <w:rsid w:val="004C7606"/>
    <w:rsid w:val="004C77D1"/>
    <w:rsid w:val="004D32CA"/>
    <w:rsid w:val="004E6E2D"/>
    <w:rsid w:val="004F2B5D"/>
    <w:rsid w:val="00501D99"/>
    <w:rsid w:val="0050281D"/>
    <w:rsid w:val="00510426"/>
    <w:rsid w:val="005177F0"/>
    <w:rsid w:val="00526292"/>
    <w:rsid w:val="00534CCF"/>
    <w:rsid w:val="0054023F"/>
    <w:rsid w:val="005466E3"/>
    <w:rsid w:val="005470F6"/>
    <w:rsid w:val="00560B57"/>
    <w:rsid w:val="00570306"/>
    <w:rsid w:val="00570D1D"/>
    <w:rsid w:val="005762AD"/>
    <w:rsid w:val="00581579"/>
    <w:rsid w:val="005947AB"/>
    <w:rsid w:val="00596D8D"/>
    <w:rsid w:val="005A2021"/>
    <w:rsid w:val="005A7E20"/>
    <w:rsid w:val="005C1683"/>
    <w:rsid w:val="005C63F5"/>
    <w:rsid w:val="005C6EB7"/>
    <w:rsid w:val="005E05F6"/>
    <w:rsid w:val="005F1B43"/>
    <w:rsid w:val="0060013A"/>
    <w:rsid w:val="006037CB"/>
    <w:rsid w:val="00603CAD"/>
    <w:rsid w:val="00617C5C"/>
    <w:rsid w:val="00617D49"/>
    <w:rsid w:val="006212BF"/>
    <w:rsid w:val="00621BCC"/>
    <w:rsid w:val="00624A00"/>
    <w:rsid w:val="006257BA"/>
    <w:rsid w:val="00626348"/>
    <w:rsid w:val="006379A2"/>
    <w:rsid w:val="00643BE9"/>
    <w:rsid w:val="00652AD3"/>
    <w:rsid w:val="006540CF"/>
    <w:rsid w:val="00656FD5"/>
    <w:rsid w:val="00662857"/>
    <w:rsid w:val="00671841"/>
    <w:rsid w:val="0068401E"/>
    <w:rsid w:val="006906DF"/>
    <w:rsid w:val="00693CC4"/>
    <w:rsid w:val="006C23B8"/>
    <w:rsid w:val="006D237B"/>
    <w:rsid w:val="006D7681"/>
    <w:rsid w:val="006E1D11"/>
    <w:rsid w:val="006E5067"/>
    <w:rsid w:val="006F2B6F"/>
    <w:rsid w:val="006F773E"/>
    <w:rsid w:val="00700C5A"/>
    <w:rsid w:val="0071083D"/>
    <w:rsid w:val="00715162"/>
    <w:rsid w:val="0072484B"/>
    <w:rsid w:val="007250C1"/>
    <w:rsid w:val="00733FD4"/>
    <w:rsid w:val="00741055"/>
    <w:rsid w:val="0074233D"/>
    <w:rsid w:val="0075004D"/>
    <w:rsid w:val="0075048D"/>
    <w:rsid w:val="007518DC"/>
    <w:rsid w:val="00761EE3"/>
    <w:rsid w:val="00763575"/>
    <w:rsid w:val="00764BFA"/>
    <w:rsid w:val="00764E0D"/>
    <w:rsid w:val="00783A4E"/>
    <w:rsid w:val="00790A6B"/>
    <w:rsid w:val="007930B4"/>
    <w:rsid w:val="00794616"/>
    <w:rsid w:val="007B0845"/>
    <w:rsid w:val="007B10F1"/>
    <w:rsid w:val="007B6826"/>
    <w:rsid w:val="007C248B"/>
    <w:rsid w:val="007C4B5F"/>
    <w:rsid w:val="007C59EF"/>
    <w:rsid w:val="007D0F0F"/>
    <w:rsid w:val="007D3032"/>
    <w:rsid w:val="007E5D54"/>
    <w:rsid w:val="007F0A27"/>
    <w:rsid w:val="00807E5D"/>
    <w:rsid w:val="0081628E"/>
    <w:rsid w:val="008162A6"/>
    <w:rsid w:val="0081790C"/>
    <w:rsid w:val="00830D20"/>
    <w:rsid w:val="00836A45"/>
    <w:rsid w:val="008412AC"/>
    <w:rsid w:val="008413C6"/>
    <w:rsid w:val="008461D2"/>
    <w:rsid w:val="00850C3B"/>
    <w:rsid w:val="008528FD"/>
    <w:rsid w:val="0086045B"/>
    <w:rsid w:val="00885766"/>
    <w:rsid w:val="008866BE"/>
    <w:rsid w:val="008910B3"/>
    <w:rsid w:val="0089266E"/>
    <w:rsid w:val="008934BD"/>
    <w:rsid w:val="008956DC"/>
    <w:rsid w:val="008C2E01"/>
    <w:rsid w:val="008D45F0"/>
    <w:rsid w:val="008D77E1"/>
    <w:rsid w:val="008D7B42"/>
    <w:rsid w:val="008D7FED"/>
    <w:rsid w:val="008F1EA7"/>
    <w:rsid w:val="00912362"/>
    <w:rsid w:val="00920903"/>
    <w:rsid w:val="009240ED"/>
    <w:rsid w:val="00931741"/>
    <w:rsid w:val="00936F6F"/>
    <w:rsid w:val="009438EB"/>
    <w:rsid w:val="009475AC"/>
    <w:rsid w:val="00961D71"/>
    <w:rsid w:val="00964529"/>
    <w:rsid w:val="00974749"/>
    <w:rsid w:val="00981471"/>
    <w:rsid w:val="00990695"/>
    <w:rsid w:val="00997854"/>
    <w:rsid w:val="00997DA5"/>
    <w:rsid w:val="009B2BE8"/>
    <w:rsid w:val="009C028D"/>
    <w:rsid w:val="009C366C"/>
    <w:rsid w:val="009E27A3"/>
    <w:rsid w:val="009F3268"/>
    <w:rsid w:val="00A04A70"/>
    <w:rsid w:val="00A16EE6"/>
    <w:rsid w:val="00A17A57"/>
    <w:rsid w:val="00A22173"/>
    <w:rsid w:val="00A23B90"/>
    <w:rsid w:val="00A26DB1"/>
    <w:rsid w:val="00A3035F"/>
    <w:rsid w:val="00A358F8"/>
    <w:rsid w:val="00A375F5"/>
    <w:rsid w:val="00A4200A"/>
    <w:rsid w:val="00A42AD8"/>
    <w:rsid w:val="00A44740"/>
    <w:rsid w:val="00A46909"/>
    <w:rsid w:val="00A46D8C"/>
    <w:rsid w:val="00A56D1C"/>
    <w:rsid w:val="00A65EFC"/>
    <w:rsid w:val="00A676BC"/>
    <w:rsid w:val="00A74102"/>
    <w:rsid w:val="00A83EE5"/>
    <w:rsid w:val="00A84944"/>
    <w:rsid w:val="00A864C3"/>
    <w:rsid w:val="00A9607B"/>
    <w:rsid w:val="00AB2007"/>
    <w:rsid w:val="00AB646D"/>
    <w:rsid w:val="00AC64CD"/>
    <w:rsid w:val="00AC76E4"/>
    <w:rsid w:val="00AD531C"/>
    <w:rsid w:val="00AE7D79"/>
    <w:rsid w:val="00AF2F8E"/>
    <w:rsid w:val="00AF64D5"/>
    <w:rsid w:val="00B07D03"/>
    <w:rsid w:val="00B10F9C"/>
    <w:rsid w:val="00B11F36"/>
    <w:rsid w:val="00B12F70"/>
    <w:rsid w:val="00B20C17"/>
    <w:rsid w:val="00B22A98"/>
    <w:rsid w:val="00B23E84"/>
    <w:rsid w:val="00B53A15"/>
    <w:rsid w:val="00B54638"/>
    <w:rsid w:val="00B6415F"/>
    <w:rsid w:val="00B66138"/>
    <w:rsid w:val="00B70381"/>
    <w:rsid w:val="00B746F0"/>
    <w:rsid w:val="00B82417"/>
    <w:rsid w:val="00BA076F"/>
    <w:rsid w:val="00BC23FC"/>
    <w:rsid w:val="00BD0543"/>
    <w:rsid w:val="00BD1902"/>
    <w:rsid w:val="00BD6B68"/>
    <w:rsid w:val="00BE0F2B"/>
    <w:rsid w:val="00BE22B7"/>
    <w:rsid w:val="00BE45A4"/>
    <w:rsid w:val="00BE79AD"/>
    <w:rsid w:val="00BF09DC"/>
    <w:rsid w:val="00BF463D"/>
    <w:rsid w:val="00BF542C"/>
    <w:rsid w:val="00C0150E"/>
    <w:rsid w:val="00C13C88"/>
    <w:rsid w:val="00C1428F"/>
    <w:rsid w:val="00C150E7"/>
    <w:rsid w:val="00C21F2A"/>
    <w:rsid w:val="00C2615D"/>
    <w:rsid w:val="00C313CA"/>
    <w:rsid w:val="00C440FE"/>
    <w:rsid w:val="00C44DC1"/>
    <w:rsid w:val="00C6073D"/>
    <w:rsid w:val="00C707AA"/>
    <w:rsid w:val="00C7411D"/>
    <w:rsid w:val="00C74E22"/>
    <w:rsid w:val="00C939B5"/>
    <w:rsid w:val="00CA421C"/>
    <w:rsid w:val="00CA6AC1"/>
    <w:rsid w:val="00CB60B2"/>
    <w:rsid w:val="00CB72A4"/>
    <w:rsid w:val="00CC4E2F"/>
    <w:rsid w:val="00CD7CFD"/>
    <w:rsid w:val="00CE3A4D"/>
    <w:rsid w:val="00CE50AA"/>
    <w:rsid w:val="00CE6D5E"/>
    <w:rsid w:val="00CE78EA"/>
    <w:rsid w:val="00CE7CFD"/>
    <w:rsid w:val="00CF272D"/>
    <w:rsid w:val="00CF7C85"/>
    <w:rsid w:val="00D063CB"/>
    <w:rsid w:val="00D13960"/>
    <w:rsid w:val="00D13F93"/>
    <w:rsid w:val="00D3185D"/>
    <w:rsid w:val="00D416BB"/>
    <w:rsid w:val="00D421BA"/>
    <w:rsid w:val="00D44900"/>
    <w:rsid w:val="00D50D33"/>
    <w:rsid w:val="00D51474"/>
    <w:rsid w:val="00D5650D"/>
    <w:rsid w:val="00D608E7"/>
    <w:rsid w:val="00D72A49"/>
    <w:rsid w:val="00D72CDD"/>
    <w:rsid w:val="00D773D1"/>
    <w:rsid w:val="00D801F2"/>
    <w:rsid w:val="00D81F9E"/>
    <w:rsid w:val="00D84313"/>
    <w:rsid w:val="00D923BB"/>
    <w:rsid w:val="00D95667"/>
    <w:rsid w:val="00D967AC"/>
    <w:rsid w:val="00D97DAA"/>
    <w:rsid w:val="00DA21D7"/>
    <w:rsid w:val="00DA25E3"/>
    <w:rsid w:val="00DA298C"/>
    <w:rsid w:val="00DB1EC1"/>
    <w:rsid w:val="00DD58CC"/>
    <w:rsid w:val="00DE682E"/>
    <w:rsid w:val="00DE6FF0"/>
    <w:rsid w:val="00E057E7"/>
    <w:rsid w:val="00E1475F"/>
    <w:rsid w:val="00E17331"/>
    <w:rsid w:val="00E27215"/>
    <w:rsid w:val="00E27440"/>
    <w:rsid w:val="00E366E5"/>
    <w:rsid w:val="00E3720A"/>
    <w:rsid w:val="00E45162"/>
    <w:rsid w:val="00E55B8C"/>
    <w:rsid w:val="00E62E26"/>
    <w:rsid w:val="00E8326E"/>
    <w:rsid w:val="00E868F4"/>
    <w:rsid w:val="00E90FBB"/>
    <w:rsid w:val="00E91C8F"/>
    <w:rsid w:val="00E94B04"/>
    <w:rsid w:val="00EA0D11"/>
    <w:rsid w:val="00EA6EF8"/>
    <w:rsid w:val="00EB06B7"/>
    <w:rsid w:val="00EC1B88"/>
    <w:rsid w:val="00EC4F42"/>
    <w:rsid w:val="00EC6AAD"/>
    <w:rsid w:val="00ED31AB"/>
    <w:rsid w:val="00ED736D"/>
    <w:rsid w:val="00EF6119"/>
    <w:rsid w:val="00F02F66"/>
    <w:rsid w:val="00F06B77"/>
    <w:rsid w:val="00F11B70"/>
    <w:rsid w:val="00F12E8D"/>
    <w:rsid w:val="00F13D66"/>
    <w:rsid w:val="00F15DED"/>
    <w:rsid w:val="00F27141"/>
    <w:rsid w:val="00F30759"/>
    <w:rsid w:val="00F419D1"/>
    <w:rsid w:val="00F56FEC"/>
    <w:rsid w:val="00F601BC"/>
    <w:rsid w:val="00F62887"/>
    <w:rsid w:val="00F630CF"/>
    <w:rsid w:val="00F67F90"/>
    <w:rsid w:val="00F74ABF"/>
    <w:rsid w:val="00F74FBB"/>
    <w:rsid w:val="00F8055B"/>
    <w:rsid w:val="00F913E8"/>
    <w:rsid w:val="00F92A26"/>
    <w:rsid w:val="00F932DF"/>
    <w:rsid w:val="00FA73F5"/>
    <w:rsid w:val="00FB1026"/>
    <w:rsid w:val="00FB2517"/>
    <w:rsid w:val="00FB3261"/>
    <w:rsid w:val="00FC08D9"/>
    <w:rsid w:val="00FD60AB"/>
    <w:rsid w:val="00FD7D60"/>
    <w:rsid w:val="00FE23E4"/>
    <w:rsid w:val="00FE77DB"/>
    <w:rsid w:val="00FF1D2C"/>
    <w:rsid w:val="00F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A48930"/>
  <w15:chartTrackingRefBased/>
  <w15:docId w15:val="{F47C9531-73C3-41B8-8F6B-6DB2CC04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3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3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3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3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3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3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3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3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3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3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3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3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3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3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3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3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3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3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13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3CA"/>
  </w:style>
  <w:style w:type="paragraph" w:styleId="Footer">
    <w:name w:val="footer"/>
    <w:basedOn w:val="Normal"/>
    <w:link w:val="FooterChar"/>
    <w:uiPriority w:val="99"/>
    <w:unhideWhenUsed/>
    <w:rsid w:val="00C313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3CA"/>
  </w:style>
  <w:style w:type="paragraph" w:styleId="NormalWeb">
    <w:name w:val="Normal (Web)"/>
    <w:basedOn w:val="Normal"/>
    <w:uiPriority w:val="99"/>
    <w:semiHidden/>
    <w:unhideWhenUsed/>
    <w:rsid w:val="00BC2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C23FC"/>
    <w:rPr>
      <w:b/>
      <w:bCs/>
    </w:rPr>
  </w:style>
  <w:style w:type="character" w:styleId="Hyperlink">
    <w:name w:val="Hyperlink"/>
    <w:rsid w:val="00012187"/>
    <w:rPr>
      <w:color w:val="0000FF"/>
      <w:u w:val="single"/>
    </w:rPr>
  </w:style>
  <w:style w:type="paragraph" w:styleId="Revision">
    <w:name w:val="Revision"/>
    <w:hidden/>
    <w:uiPriority w:val="99"/>
    <w:semiHidden/>
    <w:rsid w:val="00AF2F8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26DB1"/>
    <w:rPr>
      <w:color w:val="605E5C"/>
      <w:shd w:val="clear" w:color="auto" w:fill="E1DFDD"/>
    </w:rPr>
  </w:style>
  <w:style w:type="paragraph" w:customStyle="1" w:styleId="Default">
    <w:name w:val="Default"/>
    <w:rsid w:val="00693C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r-Latn-R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9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0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74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4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3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85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90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45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74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54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8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1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01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32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68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54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309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9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2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9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02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69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22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13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f5fe31f-9de1-4167-a753-111c0df8115f}" enabled="1" method="Standard" siteId="{cc4baf00-15c9-48dd-9f59-88c98bde2be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FALANGA,FEDRA</dc:creator>
  <cp:keywords/>
  <dc:description/>
  <cp:lastModifiedBy>Jelena Krsmanovic</cp:lastModifiedBy>
  <cp:revision>15</cp:revision>
  <dcterms:created xsi:type="dcterms:W3CDTF">2026-07-29T11:46:00Z</dcterms:created>
  <dcterms:modified xsi:type="dcterms:W3CDTF">2026-07-30T09:42:00Z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62ad87-036e-491e-9fed-a81cfd22561c_Enabled">
    <vt:lpwstr>true</vt:lpwstr>
  </property>
  <property fmtid="{D5CDD505-2E9C-101B-9397-08002B2CF9AE}" pid="3" name="MSIP_Label_2062ad87-036e-491e-9fed-a81cfd22561c_SetDate">
    <vt:lpwstr>2026-07-29T11:46:49Z</vt:lpwstr>
  </property>
  <property fmtid="{D5CDD505-2E9C-101B-9397-08002B2CF9AE}" pid="4" name="MSIP_Label_2062ad87-036e-491e-9fed-a81cfd22561c_Method">
    <vt:lpwstr>Privileged</vt:lpwstr>
  </property>
  <property fmtid="{D5CDD505-2E9C-101B-9397-08002B2CF9AE}" pid="5" name="MSIP_Label_2062ad87-036e-491e-9fed-a81cfd22561c_Name">
    <vt:lpwstr>Javno-Public</vt:lpwstr>
  </property>
  <property fmtid="{D5CDD505-2E9C-101B-9397-08002B2CF9AE}" pid="6" name="MSIP_Label_2062ad87-036e-491e-9fed-a81cfd22561c_SiteId">
    <vt:lpwstr>dacc45ac-2744-490f-9a72-1b841bfcf46e</vt:lpwstr>
  </property>
  <property fmtid="{D5CDD505-2E9C-101B-9397-08002B2CF9AE}" pid="7" name="MSIP_Label_2062ad87-036e-491e-9fed-a81cfd22561c_ActionId">
    <vt:lpwstr>52f549c1-e212-4ff6-ac59-f2225387430d</vt:lpwstr>
  </property>
  <property fmtid="{D5CDD505-2E9C-101B-9397-08002B2CF9AE}" pid="8" name="MSIP_Label_2062ad87-036e-491e-9fed-a81cfd22561c_ContentBits">
    <vt:lpwstr>0</vt:lpwstr>
  </property>
  <property fmtid="{D5CDD505-2E9C-101B-9397-08002B2CF9AE}" pid="9" name="MSIP_Label_2062ad87-036e-491e-9fed-a81cfd22561c_Tag">
    <vt:lpwstr>10, 0, 1, 1</vt:lpwstr>
  </property>
</Properties>
</file>