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53F063" w14:textId="77777777" w:rsidR="00FD5D8A" w:rsidRDefault="00837135" w:rsidP="00F93473">
      <w:pPr>
        <w:spacing w:after="0"/>
        <w:jc w:val="center"/>
        <w:rPr>
          <w:rFonts w:ascii="Arial" w:hAnsi="Arial" w:cs="Arial"/>
          <w:b/>
          <w:bCs/>
          <w:color w:val="000000"/>
          <w:sz w:val="25"/>
          <w:szCs w:val="25"/>
        </w:rPr>
      </w:pPr>
      <w:r w:rsidRPr="00420FF9">
        <w:rPr>
          <w:noProof/>
          <w:lang w:eastAsia="sr-Latn-RS"/>
        </w:rPr>
        <w:drawing>
          <wp:anchor distT="0" distB="0" distL="114300" distR="114300" simplePos="0" relativeHeight="251659264" behindDoc="1" locked="0" layoutInCell="1" allowOverlap="1" wp14:anchorId="4CC768A9" wp14:editId="1906FE87">
            <wp:simplePos x="0" y="0"/>
            <wp:positionH relativeFrom="margin">
              <wp:posOffset>-258023</wp:posOffset>
            </wp:positionH>
            <wp:positionV relativeFrom="paragraph">
              <wp:posOffset>214</wp:posOffset>
            </wp:positionV>
            <wp:extent cx="2867025" cy="323850"/>
            <wp:effectExtent l="0" t="0" r="9525" b="0"/>
            <wp:wrapTight wrapText="bothSides">
              <wp:wrapPolygon edited="0">
                <wp:start x="0" y="0"/>
                <wp:lineTo x="0" y="20329"/>
                <wp:lineTo x="21528" y="20329"/>
                <wp:lineTo x="2152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7025" cy="323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39A72A" w14:textId="77777777" w:rsidR="00FD5D8A" w:rsidRDefault="00FD5D8A" w:rsidP="00F93473">
      <w:pPr>
        <w:spacing w:after="0"/>
        <w:jc w:val="center"/>
        <w:rPr>
          <w:rFonts w:ascii="Arial" w:hAnsi="Arial" w:cs="Arial"/>
          <w:b/>
          <w:bCs/>
          <w:color w:val="000000"/>
          <w:sz w:val="25"/>
          <w:szCs w:val="25"/>
        </w:rPr>
      </w:pPr>
    </w:p>
    <w:p w14:paraId="1641A647" w14:textId="77777777" w:rsidR="007537B1" w:rsidRDefault="007537B1" w:rsidP="00B47442">
      <w:pPr>
        <w:autoSpaceDE w:val="0"/>
        <w:autoSpaceDN w:val="0"/>
        <w:adjustRightInd w:val="0"/>
        <w:spacing w:after="0" w:line="240" w:lineRule="auto"/>
        <w:jc w:val="right"/>
        <w:rPr>
          <w:rFonts w:ascii="Arial" w:hAnsi="Arial" w:cs="Arial"/>
          <w:bCs/>
          <w:color w:val="000000"/>
          <w:sz w:val="24"/>
          <w:szCs w:val="24"/>
        </w:rPr>
      </w:pPr>
    </w:p>
    <w:p w14:paraId="35566B9F" w14:textId="77777777" w:rsidR="003A7F25" w:rsidRDefault="003A7F25" w:rsidP="00837135">
      <w:pPr>
        <w:autoSpaceDE w:val="0"/>
        <w:autoSpaceDN w:val="0"/>
        <w:adjustRightInd w:val="0"/>
        <w:spacing w:after="0" w:line="240" w:lineRule="auto"/>
        <w:rPr>
          <w:rFonts w:ascii="Arial" w:hAnsi="Arial" w:cs="Arial"/>
          <w:bCs/>
          <w:color w:val="000000"/>
          <w:sz w:val="24"/>
          <w:szCs w:val="24"/>
        </w:rPr>
      </w:pPr>
    </w:p>
    <w:p w14:paraId="6F94BFB7" w14:textId="510E86CE" w:rsidR="00837135" w:rsidRPr="00091EBE" w:rsidRDefault="00837135" w:rsidP="00837135">
      <w:pPr>
        <w:autoSpaceDE w:val="0"/>
        <w:autoSpaceDN w:val="0"/>
        <w:adjustRightInd w:val="0"/>
        <w:spacing w:after="0" w:line="240" w:lineRule="auto"/>
        <w:rPr>
          <w:rFonts w:ascii="Arial" w:hAnsi="Arial" w:cs="Arial"/>
          <w:bCs/>
          <w:color w:val="000000"/>
          <w:sz w:val="24"/>
          <w:szCs w:val="24"/>
        </w:rPr>
      </w:pPr>
      <w:r w:rsidRPr="00091EBE">
        <w:rPr>
          <w:rFonts w:ascii="Arial" w:hAnsi="Arial" w:cs="Arial"/>
          <w:bCs/>
          <w:color w:val="000000"/>
          <w:sz w:val="24"/>
          <w:szCs w:val="24"/>
        </w:rPr>
        <w:t>SAOPŠTENJE ZA MEDIJE</w:t>
      </w:r>
    </w:p>
    <w:p w14:paraId="388BCC16" w14:textId="77777777" w:rsidR="00837135" w:rsidRDefault="00837135" w:rsidP="00F93473">
      <w:pPr>
        <w:spacing w:after="0"/>
        <w:jc w:val="center"/>
        <w:rPr>
          <w:rFonts w:ascii="Arial" w:hAnsi="Arial" w:cs="Arial"/>
          <w:b/>
          <w:bCs/>
          <w:color w:val="000000"/>
          <w:sz w:val="24"/>
          <w:szCs w:val="24"/>
        </w:rPr>
      </w:pPr>
    </w:p>
    <w:p w14:paraId="1E75A946" w14:textId="77777777" w:rsidR="003A7F25" w:rsidRPr="00091EBE" w:rsidRDefault="003A7F25" w:rsidP="00F93473">
      <w:pPr>
        <w:spacing w:after="0"/>
        <w:jc w:val="center"/>
        <w:rPr>
          <w:rFonts w:ascii="Arial" w:hAnsi="Arial" w:cs="Arial"/>
          <w:b/>
          <w:bCs/>
          <w:color w:val="000000"/>
          <w:sz w:val="24"/>
          <w:szCs w:val="24"/>
        </w:rPr>
      </w:pPr>
    </w:p>
    <w:p w14:paraId="65C88371" w14:textId="77777777" w:rsidR="006B7240" w:rsidRPr="00464331" w:rsidRDefault="006B7240" w:rsidP="006B7240">
      <w:pPr>
        <w:spacing w:line="252" w:lineRule="auto"/>
        <w:jc w:val="both"/>
        <w:rPr>
          <w:rFonts w:ascii="Arial" w:eastAsia="Aptos" w:hAnsi="Arial" w:cs="Arial"/>
          <w:b/>
          <w:bCs/>
          <w:sz w:val="24"/>
          <w:szCs w:val="24"/>
        </w:rPr>
      </w:pPr>
      <w:r w:rsidRPr="00464331">
        <w:rPr>
          <w:rFonts w:ascii="Arial" w:eastAsia="Aptos" w:hAnsi="Arial" w:cs="Arial"/>
          <w:b/>
          <w:bCs/>
          <w:sz w:val="24"/>
          <w:szCs w:val="24"/>
        </w:rPr>
        <w:t>Intesa Sanpaolo ostvarila neto dobit od 9,3 milijarde evra u 2025, usvojila Biznis plan za 2026-2029</w:t>
      </w:r>
      <w:r>
        <w:rPr>
          <w:rFonts w:ascii="Arial" w:eastAsia="Aptos" w:hAnsi="Arial" w:cs="Arial"/>
          <w:b/>
          <w:bCs/>
          <w:sz w:val="24"/>
          <w:szCs w:val="24"/>
        </w:rPr>
        <w:t>.</w:t>
      </w:r>
    </w:p>
    <w:p w14:paraId="58677026" w14:textId="65BDC4FE" w:rsidR="006B7240" w:rsidRDefault="006B7240" w:rsidP="006B7240">
      <w:pPr>
        <w:spacing w:line="252" w:lineRule="auto"/>
        <w:jc w:val="both"/>
        <w:rPr>
          <w:rFonts w:ascii="Arial" w:eastAsia="Aptos" w:hAnsi="Arial" w:cs="Arial"/>
          <w:sz w:val="24"/>
          <w:szCs w:val="24"/>
        </w:rPr>
      </w:pPr>
      <w:r w:rsidRPr="00464331">
        <w:rPr>
          <w:rFonts w:ascii="Arial" w:eastAsia="Aptos" w:hAnsi="Arial" w:cs="Arial"/>
          <w:sz w:val="24"/>
          <w:szCs w:val="24"/>
        </w:rPr>
        <w:br/>
      </w:r>
      <w:r w:rsidRPr="00464331">
        <w:rPr>
          <w:rFonts w:ascii="Arial" w:eastAsia="Aptos" w:hAnsi="Arial" w:cs="Arial"/>
          <w:b/>
          <w:bCs/>
          <w:sz w:val="24"/>
          <w:szCs w:val="24"/>
        </w:rPr>
        <w:t>Milano, 02.02.2026.</w:t>
      </w:r>
      <w:r w:rsidRPr="00464331">
        <w:rPr>
          <w:rFonts w:ascii="Arial" w:eastAsia="Aptos" w:hAnsi="Arial" w:cs="Arial"/>
          <w:sz w:val="24"/>
          <w:szCs w:val="24"/>
        </w:rPr>
        <w:t xml:space="preserve"> – Intesa Sanpaolo, međunarodna bankarska grupacija u čijem sastavu posluje Banca Intesa, ostvarila je neto dobit od 9,3 milijarde evra u 2025. godini, najbolju u istoriji grupe, uz rekordno visoke prihode od naknada i osiguranja. Grupa je zabeležila odnos troškova i prihoda</w:t>
      </w:r>
      <w:r w:rsidRPr="00D3252D">
        <w:rPr>
          <w:rFonts w:ascii="Arial" w:eastAsia="Aptos" w:hAnsi="Arial" w:cs="Arial"/>
          <w:sz w:val="24"/>
          <w:szCs w:val="24"/>
        </w:rPr>
        <w:t xml:space="preserve"> koji je </w:t>
      </w:r>
      <w:r w:rsidRPr="00464331">
        <w:rPr>
          <w:rFonts w:ascii="Arial" w:eastAsia="Aptos" w:hAnsi="Arial" w:cs="Arial"/>
          <w:sz w:val="24"/>
          <w:szCs w:val="24"/>
        </w:rPr>
        <w:t>najbolji u klasi, nivo i priliv problematičnih kredita</w:t>
      </w:r>
      <w:r w:rsidRPr="00F01DDE">
        <w:rPr>
          <w:rFonts w:ascii="Arial" w:eastAsia="Aptos" w:hAnsi="Arial" w:cs="Arial"/>
          <w:sz w:val="24"/>
          <w:szCs w:val="24"/>
        </w:rPr>
        <w:t xml:space="preserve"> </w:t>
      </w:r>
      <w:r>
        <w:rPr>
          <w:rFonts w:ascii="Arial" w:eastAsia="Aptos" w:hAnsi="Arial" w:cs="Arial"/>
          <w:sz w:val="24"/>
          <w:szCs w:val="24"/>
        </w:rPr>
        <w:t xml:space="preserve">na istorijski </w:t>
      </w:r>
      <w:r w:rsidRPr="00464331">
        <w:rPr>
          <w:rFonts w:ascii="Arial" w:eastAsia="Aptos" w:hAnsi="Arial" w:cs="Arial"/>
          <w:sz w:val="24"/>
          <w:szCs w:val="24"/>
        </w:rPr>
        <w:t>najniž</w:t>
      </w:r>
      <w:r>
        <w:rPr>
          <w:rFonts w:ascii="Arial" w:eastAsia="Aptos" w:hAnsi="Arial" w:cs="Arial"/>
          <w:sz w:val="24"/>
          <w:szCs w:val="24"/>
        </w:rPr>
        <w:t>em nivou</w:t>
      </w:r>
      <w:r w:rsidR="00432157">
        <w:rPr>
          <w:rFonts w:ascii="Arial" w:eastAsia="Aptos" w:hAnsi="Arial" w:cs="Arial"/>
          <w:sz w:val="24"/>
          <w:szCs w:val="24"/>
        </w:rPr>
        <w:t>, kao i sn</w:t>
      </w:r>
      <w:r w:rsidRPr="00464331">
        <w:rPr>
          <w:rFonts w:ascii="Arial" w:eastAsia="Aptos" w:hAnsi="Arial" w:cs="Arial"/>
          <w:sz w:val="24"/>
          <w:szCs w:val="24"/>
        </w:rPr>
        <w:t xml:space="preserve">ažan rast kapitala, </w:t>
      </w:r>
      <w:r w:rsidR="00432157">
        <w:rPr>
          <w:rFonts w:ascii="Arial" w:eastAsia="Aptos" w:hAnsi="Arial" w:cs="Arial"/>
          <w:sz w:val="24"/>
          <w:szCs w:val="24"/>
        </w:rPr>
        <w:t>i pritom</w:t>
      </w:r>
      <w:r w:rsidRPr="00464331">
        <w:rPr>
          <w:rFonts w:ascii="Arial" w:eastAsia="Aptos" w:hAnsi="Arial" w:cs="Arial"/>
          <w:sz w:val="24"/>
          <w:szCs w:val="24"/>
        </w:rPr>
        <w:t xml:space="preserve"> kreira</w:t>
      </w:r>
      <w:r w:rsidR="007B3C7E">
        <w:rPr>
          <w:rFonts w:ascii="Arial" w:eastAsia="Aptos" w:hAnsi="Arial" w:cs="Arial"/>
          <w:sz w:val="24"/>
          <w:szCs w:val="24"/>
        </w:rPr>
        <w:t>la značajnu</w:t>
      </w:r>
      <w:r w:rsidRPr="00464331">
        <w:rPr>
          <w:rFonts w:ascii="Arial" w:eastAsia="Aptos" w:hAnsi="Arial" w:cs="Arial"/>
          <w:sz w:val="24"/>
          <w:szCs w:val="24"/>
        </w:rPr>
        <w:t xml:space="preserve"> vrednost za sve zainteresovane strane.</w:t>
      </w:r>
    </w:p>
    <w:p w14:paraId="13464370" w14:textId="77777777" w:rsidR="006B7240" w:rsidRPr="00464331" w:rsidRDefault="006B7240" w:rsidP="006B7240">
      <w:pPr>
        <w:spacing w:line="252" w:lineRule="auto"/>
        <w:jc w:val="both"/>
        <w:rPr>
          <w:rFonts w:ascii="Arial" w:eastAsia="Aptos" w:hAnsi="Arial" w:cs="Arial"/>
          <w:b/>
          <w:bCs/>
          <w:sz w:val="24"/>
          <w:szCs w:val="24"/>
        </w:rPr>
      </w:pPr>
      <w:r w:rsidRPr="00464331">
        <w:rPr>
          <w:rFonts w:ascii="Arial" w:eastAsia="Aptos" w:hAnsi="Arial" w:cs="Arial"/>
          <w:b/>
          <w:bCs/>
          <w:sz w:val="24"/>
          <w:szCs w:val="24"/>
        </w:rPr>
        <w:t>Najbolja profitabilnost u klasi</w:t>
      </w:r>
    </w:p>
    <w:p w14:paraId="0995ED2B" w14:textId="612E3C10" w:rsidR="006B7240" w:rsidRPr="00464331" w:rsidRDefault="006B7240" w:rsidP="006B7240">
      <w:pPr>
        <w:numPr>
          <w:ilvl w:val="0"/>
          <w:numId w:val="39"/>
        </w:numPr>
        <w:spacing w:after="0" w:line="252" w:lineRule="auto"/>
        <w:jc w:val="both"/>
        <w:rPr>
          <w:rFonts w:ascii="Arial" w:eastAsia="Times New Roman" w:hAnsi="Arial" w:cs="Arial"/>
          <w:sz w:val="24"/>
          <w:szCs w:val="24"/>
        </w:rPr>
      </w:pPr>
      <w:r w:rsidRPr="00464331">
        <w:rPr>
          <w:rFonts w:ascii="Arial" w:eastAsia="Times New Roman" w:hAnsi="Arial" w:cs="Arial"/>
          <w:sz w:val="24"/>
          <w:szCs w:val="24"/>
        </w:rPr>
        <w:t>Neto dobit od 9,3 milijard</w:t>
      </w:r>
      <w:r w:rsidR="00996041">
        <w:rPr>
          <w:rFonts w:ascii="Arial" w:eastAsia="Times New Roman" w:hAnsi="Arial" w:cs="Arial"/>
          <w:sz w:val="24"/>
          <w:szCs w:val="24"/>
        </w:rPr>
        <w:t>e</w:t>
      </w:r>
      <w:r w:rsidRPr="00464331">
        <w:rPr>
          <w:rFonts w:ascii="Arial" w:eastAsia="Times New Roman" w:hAnsi="Arial" w:cs="Arial"/>
          <w:sz w:val="24"/>
          <w:szCs w:val="24"/>
        </w:rPr>
        <w:t xml:space="preserve"> evra, uz rekordne prihode od naknada (+6% u odnosu na 2024.) i prihode od osiguranja (+5% u odnosu na 2024.)</w:t>
      </w:r>
    </w:p>
    <w:p w14:paraId="57B8370D" w14:textId="77777777" w:rsidR="006B7240" w:rsidRPr="00464331" w:rsidRDefault="006B7240" w:rsidP="006B7240">
      <w:pPr>
        <w:numPr>
          <w:ilvl w:val="0"/>
          <w:numId w:val="39"/>
        </w:numPr>
        <w:spacing w:after="0" w:line="252" w:lineRule="auto"/>
        <w:jc w:val="both"/>
        <w:rPr>
          <w:rFonts w:ascii="Arial" w:eastAsia="Times New Roman" w:hAnsi="Arial" w:cs="Arial"/>
          <w:sz w:val="24"/>
          <w:szCs w:val="24"/>
        </w:rPr>
      </w:pPr>
      <w:r w:rsidRPr="00464331">
        <w:rPr>
          <w:rFonts w:ascii="Arial" w:eastAsia="Times New Roman" w:hAnsi="Arial" w:cs="Arial"/>
          <w:sz w:val="24"/>
          <w:szCs w:val="24"/>
        </w:rPr>
        <w:t>Povraćaj na kapital (ROE) od 18% i povraćaj na opipljivi kapital (ROTE) od 22%</w:t>
      </w:r>
    </w:p>
    <w:p w14:paraId="5124E2E9" w14:textId="77777777" w:rsidR="006B7240" w:rsidRDefault="006B7240" w:rsidP="006B7240">
      <w:pPr>
        <w:numPr>
          <w:ilvl w:val="0"/>
          <w:numId w:val="39"/>
        </w:numPr>
        <w:spacing w:after="0" w:line="252" w:lineRule="auto"/>
        <w:jc w:val="both"/>
        <w:rPr>
          <w:rFonts w:ascii="Arial" w:eastAsia="Times New Roman" w:hAnsi="Arial" w:cs="Arial"/>
          <w:sz w:val="24"/>
          <w:szCs w:val="24"/>
        </w:rPr>
      </w:pPr>
      <w:r w:rsidRPr="00464331">
        <w:rPr>
          <w:rFonts w:ascii="Arial" w:eastAsia="Times New Roman" w:hAnsi="Arial" w:cs="Arial"/>
          <w:sz w:val="24"/>
          <w:szCs w:val="24"/>
        </w:rPr>
        <w:t>Više od 1 milijarde evra dobiti pre oporezivanja alocirano za nastavak uspešnog poslovanja u narednim godinama</w:t>
      </w:r>
    </w:p>
    <w:p w14:paraId="0F21E1C9" w14:textId="77777777" w:rsidR="006B7240" w:rsidRDefault="006B7240" w:rsidP="006B7240">
      <w:pPr>
        <w:spacing w:after="0" w:line="252" w:lineRule="auto"/>
        <w:jc w:val="both"/>
        <w:rPr>
          <w:rFonts w:ascii="Arial" w:eastAsia="Times New Roman" w:hAnsi="Arial" w:cs="Arial"/>
          <w:sz w:val="24"/>
          <w:szCs w:val="24"/>
        </w:rPr>
      </w:pPr>
    </w:p>
    <w:p w14:paraId="21DF8708" w14:textId="77777777" w:rsidR="006B7240" w:rsidRDefault="006B7240" w:rsidP="006B7240">
      <w:pPr>
        <w:spacing w:after="0" w:line="252" w:lineRule="auto"/>
        <w:jc w:val="both"/>
        <w:rPr>
          <w:rFonts w:ascii="Arial" w:eastAsia="Times New Roman" w:hAnsi="Arial" w:cs="Arial"/>
          <w:sz w:val="24"/>
          <w:szCs w:val="24"/>
        </w:rPr>
      </w:pPr>
      <w:r w:rsidRPr="00464331">
        <w:rPr>
          <w:rFonts w:ascii="Arial" w:eastAsia="Aptos" w:hAnsi="Arial" w:cs="Arial"/>
          <w:b/>
          <w:bCs/>
          <w:sz w:val="24"/>
          <w:szCs w:val="24"/>
        </w:rPr>
        <w:t>Efikasno upravljanje troškovima</w:t>
      </w:r>
      <w:r w:rsidRPr="00464331">
        <w:rPr>
          <w:rFonts w:ascii="Arial" w:eastAsia="Aptos" w:hAnsi="Arial" w:cs="Arial"/>
          <w:sz w:val="24"/>
          <w:szCs w:val="24"/>
        </w:rPr>
        <w:t>: odnos troškova i prihoda od 42,2%, najniži ikada i najbolji u klasi u Evropi</w:t>
      </w:r>
      <w:r w:rsidRPr="00D3252D">
        <w:rPr>
          <w:rFonts w:ascii="Arial" w:eastAsia="Aptos" w:hAnsi="Arial" w:cs="Arial"/>
          <w:sz w:val="24"/>
          <w:szCs w:val="24"/>
        </w:rPr>
        <w:t>.</w:t>
      </w:r>
    </w:p>
    <w:p w14:paraId="174BFB6D" w14:textId="77777777" w:rsidR="006B7240" w:rsidRDefault="006B7240" w:rsidP="006B7240">
      <w:pPr>
        <w:spacing w:after="0" w:line="252" w:lineRule="auto"/>
        <w:jc w:val="both"/>
        <w:rPr>
          <w:rFonts w:ascii="Arial" w:eastAsia="Times New Roman" w:hAnsi="Arial" w:cs="Arial"/>
          <w:sz w:val="24"/>
          <w:szCs w:val="24"/>
        </w:rPr>
      </w:pPr>
    </w:p>
    <w:p w14:paraId="58F93CF1" w14:textId="77777777" w:rsidR="006B7240" w:rsidRDefault="006B7240" w:rsidP="006B7240">
      <w:pPr>
        <w:spacing w:after="0" w:line="252" w:lineRule="auto"/>
        <w:jc w:val="both"/>
        <w:rPr>
          <w:rFonts w:ascii="Arial" w:eastAsia="Times New Roman" w:hAnsi="Arial" w:cs="Arial"/>
          <w:sz w:val="24"/>
          <w:szCs w:val="24"/>
        </w:rPr>
      </w:pPr>
      <w:r w:rsidRPr="00464331">
        <w:rPr>
          <w:rFonts w:ascii="Arial" w:eastAsia="Aptos" w:hAnsi="Arial" w:cs="Arial"/>
          <w:b/>
          <w:bCs/>
          <w:sz w:val="24"/>
          <w:szCs w:val="24"/>
        </w:rPr>
        <w:t xml:space="preserve">Banka sa nultim </w:t>
      </w:r>
      <w:r w:rsidRPr="00F773B6">
        <w:rPr>
          <w:rFonts w:ascii="Arial" w:eastAsia="Aptos" w:hAnsi="Arial" w:cs="Arial"/>
          <w:b/>
          <w:bCs/>
          <w:sz w:val="24"/>
          <w:szCs w:val="24"/>
        </w:rPr>
        <w:t>nivoom nenaplativih plasmana (</w:t>
      </w:r>
      <w:r w:rsidRPr="00464331">
        <w:rPr>
          <w:rFonts w:ascii="Arial" w:eastAsia="Aptos" w:hAnsi="Arial" w:cs="Arial"/>
          <w:b/>
          <w:bCs/>
          <w:sz w:val="24"/>
          <w:szCs w:val="24"/>
        </w:rPr>
        <w:t>NPL</w:t>
      </w:r>
      <w:r w:rsidRPr="00F773B6">
        <w:rPr>
          <w:rFonts w:ascii="Arial" w:eastAsia="Aptos" w:hAnsi="Arial" w:cs="Arial"/>
          <w:b/>
          <w:bCs/>
          <w:sz w:val="24"/>
          <w:szCs w:val="24"/>
        </w:rPr>
        <w:t>)</w:t>
      </w:r>
      <w:r w:rsidRPr="00464331">
        <w:rPr>
          <w:rFonts w:ascii="Arial" w:eastAsia="Aptos" w:hAnsi="Arial" w:cs="Arial"/>
          <w:sz w:val="24"/>
          <w:szCs w:val="24"/>
        </w:rPr>
        <w:t xml:space="preserve">: neto stopa problematičnih kredita na istorijskom minimumu od 0,8%, uz </w:t>
      </w:r>
      <w:r w:rsidRPr="00F773B6">
        <w:rPr>
          <w:rFonts w:ascii="Arial" w:eastAsia="Aptos" w:hAnsi="Arial" w:cs="Arial"/>
          <w:sz w:val="24"/>
          <w:szCs w:val="24"/>
        </w:rPr>
        <w:t>učešće plasmana u najlošijoj podgrupi nenaplativih kredita svedeno gotovo na nulu.</w:t>
      </w:r>
    </w:p>
    <w:p w14:paraId="6CA3DA2A" w14:textId="77777777" w:rsidR="006B7240" w:rsidRDefault="006B7240" w:rsidP="006B7240">
      <w:pPr>
        <w:spacing w:after="0" w:line="252" w:lineRule="auto"/>
        <w:jc w:val="both"/>
        <w:rPr>
          <w:rFonts w:ascii="Arial" w:eastAsia="Times New Roman" w:hAnsi="Arial" w:cs="Arial"/>
          <w:sz w:val="24"/>
          <w:szCs w:val="24"/>
        </w:rPr>
      </w:pPr>
    </w:p>
    <w:p w14:paraId="64F57DAF" w14:textId="77777777" w:rsidR="006B7240" w:rsidRDefault="006B7240" w:rsidP="006B7240">
      <w:pPr>
        <w:spacing w:after="0" w:line="252" w:lineRule="auto"/>
        <w:jc w:val="both"/>
        <w:rPr>
          <w:rFonts w:ascii="Arial" w:eastAsia="Times New Roman" w:hAnsi="Arial" w:cs="Arial"/>
          <w:sz w:val="24"/>
          <w:szCs w:val="24"/>
        </w:rPr>
      </w:pPr>
      <w:r w:rsidRPr="00464331">
        <w:rPr>
          <w:rFonts w:ascii="Arial" w:eastAsia="Aptos" w:hAnsi="Arial" w:cs="Arial"/>
          <w:b/>
          <w:bCs/>
          <w:sz w:val="24"/>
          <w:szCs w:val="24"/>
        </w:rPr>
        <w:t>Izuzetno snažna kapitalna pozicija</w:t>
      </w:r>
      <w:r w:rsidRPr="00464331">
        <w:rPr>
          <w:rFonts w:ascii="Arial" w:eastAsia="Aptos" w:hAnsi="Arial" w:cs="Arial"/>
          <w:sz w:val="24"/>
          <w:szCs w:val="24"/>
        </w:rPr>
        <w:t>: CET1 koeficijent iznad 13,9%, što predstavlja povećanje od oko 110 baznih poena u 2025; CET1 na 14,1% kada se isključi uticaj od oko 20 baznih poena italijanskog Zakona o budžetu</w:t>
      </w:r>
      <w:r w:rsidRPr="00992CD5">
        <w:rPr>
          <w:rFonts w:ascii="Arial" w:eastAsia="Aptos" w:hAnsi="Arial" w:cs="Arial"/>
          <w:sz w:val="24"/>
          <w:szCs w:val="24"/>
        </w:rPr>
        <w:t>.</w:t>
      </w:r>
    </w:p>
    <w:p w14:paraId="38E3894D" w14:textId="77777777" w:rsidR="006B7240" w:rsidRDefault="006B7240" w:rsidP="006B7240">
      <w:pPr>
        <w:spacing w:after="0" w:line="252" w:lineRule="auto"/>
        <w:jc w:val="both"/>
        <w:rPr>
          <w:rFonts w:ascii="Arial" w:eastAsia="Times New Roman" w:hAnsi="Arial" w:cs="Arial"/>
          <w:sz w:val="24"/>
          <w:szCs w:val="24"/>
        </w:rPr>
      </w:pPr>
    </w:p>
    <w:p w14:paraId="0C1729F0" w14:textId="77777777" w:rsidR="006B7240" w:rsidRPr="00464331" w:rsidRDefault="006B7240" w:rsidP="006B7240">
      <w:pPr>
        <w:spacing w:after="0" w:line="252" w:lineRule="auto"/>
        <w:jc w:val="both"/>
        <w:rPr>
          <w:rFonts w:ascii="Arial" w:eastAsia="Times New Roman" w:hAnsi="Arial" w:cs="Arial"/>
          <w:sz w:val="24"/>
          <w:szCs w:val="24"/>
        </w:rPr>
      </w:pPr>
      <w:r>
        <w:rPr>
          <w:rFonts w:ascii="Arial" w:eastAsia="Aptos" w:hAnsi="Arial" w:cs="Arial"/>
          <w:b/>
          <w:bCs/>
          <w:sz w:val="24"/>
          <w:szCs w:val="24"/>
        </w:rPr>
        <w:t>Sn</w:t>
      </w:r>
      <w:r w:rsidRPr="00464331">
        <w:rPr>
          <w:rFonts w:ascii="Arial" w:eastAsia="Aptos" w:hAnsi="Arial" w:cs="Arial"/>
          <w:b/>
          <w:bCs/>
          <w:sz w:val="24"/>
          <w:szCs w:val="24"/>
        </w:rPr>
        <w:t>ažno i održivo stvaranje i raspodela vrednosti</w:t>
      </w:r>
    </w:p>
    <w:p w14:paraId="6FB0A34B" w14:textId="77777777" w:rsidR="006B7240" w:rsidRPr="00464331" w:rsidRDefault="006B7240" w:rsidP="006B7240">
      <w:pPr>
        <w:numPr>
          <w:ilvl w:val="0"/>
          <w:numId w:val="40"/>
        </w:numPr>
        <w:spacing w:after="0" w:line="252" w:lineRule="auto"/>
        <w:jc w:val="both"/>
        <w:rPr>
          <w:rFonts w:ascii="Arial" w:eastAsia="Times New Roman" w:hAnsi="Arial" w:cs="Arial"/>
          <w:sz w:val="24"/>
          <w:szCs w:val="24"/>
        </w:rPr>
      </w:pPr>
      <w:r w:rsidRPr="00464331">
        <w:rPr>
          <w:rFonts w:ascii="Arial" w:eastAsia="Times New Roman" w:hAnsi="Arial" w:cs="Arial"/>
          <w:sz w:val="24"/>
          <w:szCs w:val="24"/>
        </w:rPr>
        <w:t>Gotovinske dividende od 6,5 milijardi evra, od čega je 3,2 milijarde evra isplaćeno u novembru 2025.</w:t>
      </w:r>
    </w:p>
    <w:p w14:paraId="66755C8B" w14:textId="77777777" w:rsidR="006B7240" w:rsidRPr="00464331" w:rsidRDefault="006B7240" w:rsidP="006B7240">
      <w:pPr>
        <w:numPr>
          <w:ilvl w:val="0"/>
          <w:numId w:val="40"/>
        </w:numPr>
        <w:spacing w:after="0" w:line="252" w:lineRule="auto"/>
        <w:jc w:val="both"/>
        <w:rPr>
          <w:rFonts w:ascii="Arial" w:eastAsia="Times New Roman" w:hAnsi="Arial" w:cs="Arial"/>
          <w:sz w:val="24"/>
          <w:szCs w:val="24"/>
        </w:rPr>
      </w:pPr>
      <w:r w:rsidRPr="00464331">
        <w:rPr>
          <w:rFonts w:ascii="Arial" w:eastAsia="Times New Roman" w:hAnsi="Arial" w:cs="Arial"/>
          <w:sz w:val="24"/>
          <w:szCs w:val="24"/>
        </w:rPr>
        <w:t>Otkup sopstvenih akcija u iznosu od 2,3 milijarde evra, planiran za jul 2026, pored 2,0 milijarde evra otkupa završenog u oktobru 2025.</w:t>
      </w:r>
    </w:p>
    <w:p w14:paraId="3F6C3AB4" w14:textId="77777777" w:rsidR="006B7240" w:rsidRPr="008A4E63" w:rsidRDefault="006B7240" w:rsidP="006B7240">
      <w:pPr>
        <w:numPr>
          <w:ilvl w:val="0"/>
          <w:numId w:val="40"/>
        </w:numPr>
        <w:spacing w:after="0" w:line="252" w:lineRule="auto"/>
        <w:jc w:val="both"/>
        <w:rPr>
          <w:rFonts w:ascii="Arial" w:eastAsia="Times New Roman" w:hAnsi="Arial" w:cs="Arial"/>
          <w:sz w:val="24"/>
          <w:szCs w:val="24"/>
        </w:rPr>
      </w:pPr>
      <w:r w:rsidRPr="00464331">
        <w:rPr>
          <w:rFonts w:ascii="Arial" w:eastAsia="Times New Roman" w:hAnsi="Arial" w:cs="Arial"/>
          <w:sz w:val="24"/>
          <w:szCs w:val="24"/>
        </w:rPr>
        <w:t>Prinos od dividende od 7,5%</w:t>
      </w:r>
    </w:p>
    <w:p w14:paraId="3614EF0C" w14:textId="77777777" w:rsidR="006B7240" w:rsidRDefault="006B7240" w:rsidP="006B7240">
      <w:pPr>
        <w:spacing w:after="0" w:line="252" w:lineRule="auto"/>
        <w:jc w:val="both"/>
        <w:rPr>
          <w:rFonts w:ascii="Arial" w:eastAsia="Times New Roman" w:hAnsi="Arial" w:cs="Arial"/>
          <w:sz w:val="24"/>
          <w:szCs w:val="24"/>
        </w:rPr>
      </w:pPr>
    </w:p>
    <w:p w14:paraId="5C23692A" w14:textId="77777777" w:rsidR="006B7240" w:rsidRDefault="006B7240" w:rsidP="006B7240">
      <w:pPr>
        <w:spacing w:after="0" w:line="252" w:lineRule="auto"/>
        <w:jc w:val="both"/>
        <w:rPr>
          <w:rFonts w:ascii="Arial" w:eastAsia="Times New Roman" w:hAnsi="Arial" w:cs="Arial"/>
          <w:sz w:val="24"/>
          <w:szCs w:val="24"/>
        </w:rPr>
      </w:pPr>
      <w:r>
        <w:rPr>
          <w:rFonts w:ascii="Arial" w:eastAsia="Aptos" w:hAnsi="Arial" w:cs="Arial"/>
          <w:b/>
          <w:bCs/>
          <w:sz w:val="24"/>
          <w:szCs w:val="24"/>
        </w:rPr>
        <w:t>Pozicija među globalnim liderima</w:t>
      </w:r>
      <w:r w:rsidRPr="00464331">
        <w:rPr>
          <w:rFonts w:ascii="Arial" w:eastAsia="Aptos" w:hAnsi="Arial" w:cs="Arial"/>
          <w:b/>
          <w:bCs/>
          <w:sz w:val="24"/>
          <w:szCs w:val="24"/>
        </w:rPr>
        <w:t xml:space="preserve"> u društvenom uticaju</w:t>
      </w:r>
      <w:r w:rsidRPr="00464331">
        <w:rPr>
          <w:rFonts w:ascii="Arial" w:eastAsia="Aptos" w:hAnsi="Arial" w:cs="Arial"/>
          <w:sz w:val="24"/>
          <w:szCs w:val="24"/>
        </w:rPr>
        <w:t>: doprinos od 1,0 milijard</w:t>
      </w:r>
      <w:r>
        <w:rPr>
          <w:rFonts w:ascii="Arial" w:eastAsia="Aptos" w:hAnsi="Arial" w:cs="Arial"/>
          <w:sz w:val="24"/>
          <w:szCs w:val="24"/>
        </w:rPr>
        <w:t>e</w:t>
      </w:r>
      <w:r w:rsidRPr="00464331">
        <w:rPr>
          <w:rFonts w:ascii="Arial" w:eastAsia="Aptos" w:hAnsi="Arial" w:cs="Arial"/>
          <w:sz w:val="24"/>
          <w:szCs w:val="24"/>
        </w:rPr>
        <w:t xml:space="preserve"> evra realizovan u periodu 2023–2025. u borbi protiv siromaštva i smanjenju nejednakosti.</w:t>
      </w:r>
    </w:p>
    <w:p w14:paraId="558646E0" w14:textId="77777777" w:rsidR="006B7240" w:rsidRDefault="006B7240" w:rsidP="006B7240">
      <w:pPr>
        <w:spacing w:after="0" w:line="252" w:lineRule="auto"/>
        <w:jc w:val="both"/>
        <w:rPr>
          <w:rFonts w:ascii="Arial" w:eastAsia="Times New Roman" w:hAnsi="Arial" w:cs="Arial"/>
          <w:sz w:val="24"/>
          <w:szCs w:val="24"/>
        </w:rPr>
      </w:pPr>
    </w:p>
    <w:p w14:paraId="1B59D851" w14:textId="77777777" w:rsidR="006B7240" w:rsidRDefault="006B7240" w:rsidP="006B7240">
      <w:pPr>
        <w:spacing w:after="0" w:line="252" w:lineRule="auto"/>
        <w:jc w:val="both"/>
        <w:rPr>
          <w:rFonts w:ascii="Arial" w:eastAsia="Times New Roman" w:hAnsi="Arial" w:cs="Arial"/>
          <w:sz w:val="24"/>
          <w:szCs w:val="24"/>
        </w:rPr>
      </w:pPr>
      <w:r w:rsidRPr="00464331">
        <w:rPr>
          <w:rFonts w:ascii="Arial" w:eastAsia="Aptos" w:hAnsi="Arial" w:cs="Arial"/>
          <w:b/>
          <w:bCs/>
          <w:sz w:val="24"/>
          <w:szCs w:val="24"/>
        </w:rPr>
        <w:lastRenderedPageBreak/>
        <w:t>Značajan rast finansijske aktive klijenata</w:t>
      </w:r>
      <w:r w:rsidRPr="00464331">
        <w:rPr>
          <w:rFonts w:ascii="Arial" w:eastAsia="Aptos" w:hAnsi="Arial" w:cs="Arial"/>
          <w:sz w:val="24"/>
          <w:szCs w:val="24"/>
        </w:rPr>
        <w:t>: oko 1,5 biliona evra na kraju 2025. (+75 milijardi evra u odnosu na 2024, od čega 46 milijardi evra u četvrtom kvartalu 2025.)</w:t>
      </w:r>
      <w:r>
        <w:rPr>
          <w:rFonts w:ascii="Arial" w:eastAsia="Aptos" w:hAnsi="Arial" w:cs="Arial"/>
          <w:sz w:val="24"/>
          <w:szCs w:val="24"/>
        </w:rPr>
        <w:t>.</w:t>
      </w:r>
    </w:p>
    <w:p w14:paraId="60CC6634" w14:textId="77777777" w:rsidR="006B7240" w:rsidRDefault="006B7240" w:rsidP="006B7240">
      <w:pPr>
        <w:spacing w:after="0" w:line="252" w:lineRule="auto"/>
        <w:jc w:val="both"/>
        <w:rPr>
          <w:rFonts w:ascii="Arial" w:eastAsia="Times New Roman" w:hAnsi="Arial" w:cs="Arial"/>
          <w:sz w:val="24"/>
          <w:szCs w:val="24"/>
        </w:rPr>
      </w:pPr>
    </w:p>
    <w:p w14:paraId="1C79BD5F" w14:textId="77777777" w:rsidR="006B7240" w:rsidRDefault="006B7240" w:rsidP="006B7240">
      <w:pPr>
        <w:spacing w:after="0" w:line="252" w:lineRule="auto"/>
        <w:jc w:val="both"/>
        <w:rPr>
          <w:rFonts w:ascii="Arial" w:eastAsia="Aptos" w:hAnsi="Arial" w:cs="Arial"/>
          <w:sz w:val="24"/>
          <w:szCs w:val="24"/>
        </w:rPr>
      </w:pPr>
      <w:r w:rsidRPr="00464331">
        <w:rPr>
          <w:rFonts w:ascii="Arial" w:eastAsia="Aptos" w:hAnsi="Arial" w:cs="Arial"/>
          <w:sz w:val="24"/>
          <w:szCs w:val="24"/>
        </w:rPr>
        <w:t xml:space="preserve">Ovi rezultati </w:t>
      </w:r>
      <w:r>
        <w:rPr>
          <w:rFonts w:ascii="Arial" w:eastAsia="Aptos" w:hAnsi="Arial" w:cs="Arial"/>
          <w:sz w:val="24"/>
          <w:szCs w:val="24"/>
        </w:rPr>
        <w:t>stavljaju</w:t>
      </w:r>
      <w:r w:rsidRPr="00464331">
        <w:rPr>
          <w:rFonts w:ascii="Arial" w:eastAsia="Aptos" w:hAnsi="Arial" w:cs="Arial"/>
          <w:sz w:val="24"/>
          <w:szCs w:val="24"/>
        </w:rPr>
        <w:t xml:space="preserve"> Intesa Sanpaolo </w:t>
      </w:r>
      <w:r>
        <w:rPr>
          <w:rFonts w:ascii="Arial" w:eastAsia="Aptos" w:hAnsi="Arial" w:cs="Arial"/>
          <w:sz w:val="24"/>
          <w:szCs w:val="24"/>
        </w:rPr>
        <w:t xml:space="preserve">u poziciju </w:t>
      </w:r>
      <w:r w:rsidRPr="00464331">
        <w:rPr>
          <w:rFonts w:ascii="Arial" w:eastAsia="Aptos" w:hAnsi="Arial" w:cs="Arial"/>
          <w:sz w:val="24"/>
          <w:szCs w:val="24"/>
        </w:rPr>
        <w:t>da u 2026. godini ostvari oko 10 milijardi evra neto dobiti. Otporna profitabilnost grupe, dobro diver</w:t>
      </w:r>
      <w:r>
        <w:rPr>
          <w:rFonts w:ascii="Arial" w:eastAsia="Aptos" w:hAnsi="Arial" w:cs="Arial"/>
          <w:sz w:val="24"/>
          <w:szCs w:val="24"/>
        </w:rPr>
        <w:t>s</w:t>
      </w:r>
      <w:r w:rsidRPr="00464331">
        <w:rPr>
          <w:rFonts w:ascii="Arial" w:eastAsia="Aptos" w:hAnsi="Arial" w:cs="Arial"/>
          <w:sz w:val="24"/>
          <w:szCs w:val="24"/>
        </w:rPr>
        <w:t xml:space="preserve">ifikovan poslovni model, nizak odnos troškova i prihoda, najsavremenija tehnologija i najbolji u klasi profil rizika </w:t>
      </w:r>
      <w:r>
        <w:rPr>
          <w:rFonts w:ascii="Arial" w:eastAsia="Aptos" w:hAnsi="Arial" w:cs="Arial"/>
          <w:sz w:val="24"/>
          <w:szCs w:val="24"/>
        </w:rPr>
        <w:t>čine je jedinstveno pozicioniranom</w:t>
      </w:r>
      <w:r w:rsidRPr="00464331">
        <w:rPr>
          <w:rFonts w:ascii="Arial" w:eastAsia="Aptos" w:hAnsi="Arial" w:cs="Arial"/>
          <w:sz w:val="24"/>
          <w:szCs w:val="24"/>
        </w:rPr>
        <w:t xml:space="preserve"> da nastavi sa uspešnim poslovanjem u narednim godinama, u bilo kom ekonomskom scenariju. Uz to, jedinstven, visoko efikasan poslovni model vođen </w:t>
      </w:r>
      <w:r>
        <w:rPr>
          <w:rFonts w:ascii="Arial" w:eastAsia="Aptos" w:hAnsi="Arial" w:cs="Arial"/>
          <w:sz w:val="24"/>
          <w:szCs w:val="24"/>
        </w:rPr>
        <w:t>naknadama</w:t>
      </w:r>
      <w:r w:rsidRPr="00464331">
        <w:rPr>
          <w:rFonts w:ascii="Arial" w:eastAsia="Aptos" w:hAnsi="Arial" w:cs="Arial"/>
          <w:sz w:val="24"/>
          <w:szCs w:val="24"/>
        </w:rPr>
        <w:t>, uz snažna ulaganja u tehnologiju, svrstava Intesa Sanpaolo među najotpornije banke u Evropi.</w:t>
      </w:r>
    </w:p>
    <w:p w14:paraId="0562AF3F" w14:textId="77777777" w:rsidR="006B7240" w:rsidRDefault="006B7240" w:rsidP="006B7240">
      <w:pPr>
        <w:spacing w:after="0" w:line="252" w:lineRule="auto"/>
        <w:jc w:val="both"/>
        <w:rPr>
          <w:rFonts w:ascii="Arial" w:eastAsia="Aptos" w:hAnsi="Arial" w:cs="Arial"/>
          <w:sz w:val="24"/>
          <w:szCs w:val="24"/>
        </w:rPr>
      </w:pPr>
    </w:p>
    <w:p w14:paraId="35E9AD2C" w14:textId="77777777" w:rsidR="006B7240" w:rsidRDefault="006B7240" w:rsidP="006B7240">
      <w:pPr>
        <w:spacing w:after="0" w:line="252" w:lineRule="auto"/>
        <w:jc w:val="both"/>
        <w:rPr>
          <w:rFonts w:ascii="Arial" w:hAnsi="Arial" w:cs="Arial"/>
          <w:sz w:val="24"/>
          <w:szCs w:val="24"/>
        </w:rPr>
      </w:pPr>
      <w:r w:rsidRPr="00F01DDE">
        <w:rPr>
          <w:rFonts w:ascii="Arial" w:hAnsi="Arial" w:cs="Arial"/>
          <w:sz w:val="24"/>
          <w:szCs w:val="24"/>
        </w:rPr>
        <w:t xml:space="preserve">Intesa Sanpaolo je predstavila </w:t>
      </w:r>
      <w:r>
        <w:rPr>
          <w:rFonts w:ascii="Arial" w:hAnsi="Arial" w:cs="Arial"/>
          <w:sz w:val="24"/>
          <w:szCs w:val="24"/>
        </w:rPr>
        <w:t xml:space="preserve">i </w:t>
      </w:r>
      <w:r w:rsidRPr="00F01DDE">
        <w:rPr>
          <w:rFonts w:ascii="Arial" w:hAnsi="Arial" w:cs="Arial"/>
          <w:b/>
          <w:bCs/>
          <w:sz w:val="24"/>
          <w:szCs w:val="24"/>
        </w:rPr>
        <w:t>Poslovni plan za period 2026–2029</w:t>
      </w:r>
      <w:r>
        <w:rPr>
          <w:rFonts w:ascii="Arial" w:hAnsi="Arial" w:cs="Arial"/>
          <w:sz w:val="24"/>
          <w:szCs w:val="24"/>
        </w:rPr>
        <w:t xml:space="preserve">, </w:t>
      </w:r>
      <w:r w:rsidRPr="00F440EC">
        <w:rPr>
          <w:rFonts w:ascii="Arial" w:hAnsi="Arial" w:cs="Arial"/>
          <w:sz w:val="24"/>
          <w:szCs w:val="24"/>
        </w:rPr>
        <w:t>kojim se definiše strategija zasnovana na postojećim poslovnim linijama, već realizovanim investicijama i dokazanom operativnom modelu.</w:t>
      </w:r>
      <w:r>
        <w:rPr>
          <w:rFonts w:ascii="Arial" w:hAnsi="Arial" w:cs="Arial"/>
          <w:sz w:val="24"/>
          <w:szCs w:val="24"/>
        </w:rPr>
        <w:t xml:space="preserve"> Plan </w:t>
      </w:r>
      <w:r w:rsidRPr="00F01DDE">
        <w:rPr>
          <w:rFonts w:ascii="Arial" w:hAnsi="Arial" w:cs="Arial"/>
          <w:sz w:val="24"/>
          <w:szCs w:val="24"/>
        </w:rPr>
        <w:t xml:space="preserve">ima za cilj </w:t>
      </w:r>
      <w:r>
        <w:rPr>
          <w:rFonts w:ascii="Arial" w:hAnsi="Arial" w:cs="Arial"/>
          <w:sz w:val="24"/>
          <w:szCs w:val="24"/>
        </w:rPr>
        <w:t xml:space="preserve">održivi </w:t>
      </w:r>
      <w:r w:rsidRPr="00F01DDE">
        <w:rPr>
          <w:rFonts w:ascii="Arial" w:hAnsi="Arial" w:cs="Arial"/>
          <w:sz w:val="24"/>
          <w:szCs w:val="24"/>
        </w:rPr>
        <w:t>ROE iznad 20%, potvrđuje profil grupe sa nultim nivoom NPL</w:t>
      </w:r>
      <w:r w:rsidRPr="00693568">
        <w:rPr>
          <w:rFonts w:ascii="Arial" w:hAnsi="Arial" w:cs="Arial"/>
          <w:sz w:val="24"/>
          <w:szCs w:val="24"/>
        </w:rPr>
        <w:t>-a</w:t>
      </w:r>
      <w:r w:rsidRPr="00F01DDE">
        <w:rPr>
          <w:rFonts w:ascii="Arial" w:hAnsi="Arial" w:cs="Arial"/>
          <w:sz w:val="24"/>
          <w:szCs w:val="24"/>
        </w:rPr>
        <w:t xml:space="preserve"> i oslanja se na poslovni model vođen tehnologijom i prihodima od </w:t>
      </w:r>
      <w:r>
        <w:rPr>
          <w:rFonts w:ascii="Arial" w:hAnsi="Arial" w:cs="Arial"/>
          <w:sz w:val="24"/>
          <w:szCs w:val="24"/>
        </w:rPr>
        <w:t>provizija</w:t>
      </w:r>
      <w:r w:rsidRPr="00F01DDE">
        <w:rPr>
          <w:rFonts w:ascii="Arial" w:hAnsi="Arial" w:cs="Arial"/>
          <w:sz w:val="24"/>
          <w:szCs w:val="24"/>
        </w:rPr>
        <w:t xml:space="preserve">. </w:t>
      </w:r>
      <w:r>
        <w:rPr>
          <w:rFonts w:ascii="Arial" w:hAnsi="Arial" w:cs="Arial"/>
          <w:sz w:val="24"/>
          <w:szCs w:val="24"/>
        </w:rPr>
        <w:t>K</w:t>
      </w:r>
      <w:r w:rsidRPr="00F01DDE">
        <w:rPr>
          <w:rFonts w:ascii="Arial" w:hAnsi="Arial" w:cs="Arial"/>
          <w:sz w:val="24"/>
          <w:szCs w:val="24"/>
        </w:rPr>
        <w:t xml:space="preserve">oncipiran </w:t>
      </w:r>
      <w:r>
        <w:rPr>
          <w:rFonts w:ascii="Arial" w:hAnsi="Arial" w:cs="Arial"/>
          <w:sz w:val="24"/>
          <w:szCs w:val="24"/>
        </w:rPr>
        <w:t xml:space="preserve">je </w:t>
      </w:r>
      <w:r w:rsidRPr="00F01DDE">
        <w:rPr>
          <w:rFonts w:ascii="Arial" w:hAnsi="Arial" w:cs="Arial"/>
          <w:sz w:val="24"/>
          <w:szCs w:val="24"/>
        </w:rPr>
        <w:t xml:space="preserve">tako da se realizuje bez rizika izvršenja, uz </w:t>
      </w:r>
      <w:r>
        <w:rPr>
          <w:rFonts w:ascii="Arial" w:hAnsi="Arial" w:cs="Arial"/>
          <w:sz w:val="24"/>
          <w:szCs w:val="24"/>
        </w:rPr>
        <w:t>oslanjanje</w:t>
      </w:r>
      <w:r w:rsidRPr="00F01DDE">
        <w:rPr>
          <w:rFonts w:ascii="Arial" w:hAnsi="Arial" w:cs="Arial"/>
          <w:sz w:val="24"/>
          <w:szCs w:val="24"/>
        </w:rPr>
        <w:t xml:space="preserve"> </w:t>
      </w:r>
      <w:r>
        <w:rPr>
          <w:rFonts w:ascii="Arial" w:hAnsi="Arial" w:cs="Arial"/>
          <w:sz w:val="24"/>
          <w:szCs w:val="24"/>
        </w:rPr>
        <w:t xml:space="preserve">na </w:t>
      </w:r>
      <w:r w:rsidRPr="00F01DDE">
        <w:rPr>
          <w:rFonts w:ascii="Arial" w:hAnsi="Arial" w:cs="Arial"/>
          <w:sz w:val="24"/>
          <w:szCs w:val="24"/>
        </w:rPr>
        <w:t>dugogodišnj</w:t>
      </w:r>
      <w:r>
        <w:rPr>
          <w:rFonts w:ascii="Arial" w:hAnsi="Arial" w:cs="Arial"/>
          <w:sz w:val="24"/>
          <w:szCs w:val="24"/>
        </w:rPr>
        <w:t>u</w:t>
      </w:r>
      <w:r w:rsidRPr="00F01DDE">
        <w:rPr>
          <w:rFonts w:ascii="Arial" w:hAnsi="Arial" w:cs="Arial"/>
          <w:sz w:val="24"/>
          <w:szCs w:val="24"/>
        </w:rPr>
        <w:t xml:space="preserve"> sposobnosti Intesa Sanpaolo da ostvaruje sinergije unutar grupe. </w:t>
      </w:r>
    </w:p>
    <w:p w14:paraId="60A54E0B" w14:textId="77777777" w:rsidR="006B7240" w:rsidRDefault="006B7240" w:rsidP="006B7240">
      <w:pPr>
        <w:spacing w:after="0" w:line="252" w:lineRule="auto"/>
        <w:jc w:val="both"/>
        <w:rPr>
          <w:rFonts w:ascii="Arial" w:eastAsia="Aptos" w:hAnsi="Arial" w:cs="Arial"/>
          <w:sz w:val="24"/>
          <w:szCs w:val="24"/>
        </w:rPr>
      </w:pPr>
    </w:p>
    <w:p w14:paraId="40AFECC3" w14:textId="77777777" w:rsidR="006B7240" w:rsidRDefault="006B7240" w:rsidP="006B7240">
      <w:pPr>
        <w:spacing w:line="252" w:lineRule="auto"/>
        <w:jc w:val="both"/>
        <w:rPr>
          <w:rFonts w:ascii="Arial" w:eastAsia="Aptos" w:hAnsi="Arial" w:cs="Arial"/>
          <w:sz w:val="24"/>
          <w:szCs w:val="24"/>
        </w:rPr>
      </w:pPr>
      <w:r w:rsidRPr="00F01DDE">
        <w:rPr>
          <w:rFonts w:ascii="Arial" w:hAnsi="Arial" w:cs="Arial"/>
          <w:b/>
          <w:bCs/>
          <w:sz w:val="24"/>
          <w:szCs w:val="24"/>
        </w:rPr>
        <w:t>Strategija zasnovana na snazi i otpornosti</w:t>
      </w:r>
    </w:p>
    <w:p w14:paraId="381ADCD7" w14:textId="77777777" w:rsidR="006B7240" w:rsidRPr="00F01DDE" w:rsidRDefault="006B7240" w:rsidP="006B7240">
      <w:pPr>
        <w:spacing w:line="252" w:lineRule="auto"/>
        <w:jc w:val="both"/>
        <w:rPr>
          <w:rFonts w:ascii="Arial" w:eastAsia="Aptos" w:hAnsi="Arial" w:cs="Arial"/>
          <w:sz w:val="24"/>
          <w:szCs w:val="24"/>
        </w:rPr>
      </w:pPr>
      <w:r w:rsidRPr="00F01DDE">
        <w:rPr>
          <w:rFonts w:ascii="Arial" w:hAnsi="Arial" w:cs="Arial"/>
          <w:sz w:val="24"/>
          <w:szCs w:val="24"/>
        </w:rPr>
        <w:t xml:space="preserve">Intesa Sanpaolo posluje kroz potpuno integrisanu platformu za upravljanje imovinom, njenu zaštitu i savetodavne usluge, </w:t>
      </w:r>
      <w:r>
        <w:rPr>
          <w:rFonts w:ascii="Arial" w:hAnsi="Arial" w:cs="Arial"/>
          <w:sz w:val="24"/>
          <w:szCs w:val="24"/>
        </w:rPr>
        <w:t>razvijenu</w:t>
      </w:r>
      <w:r w:rsidRPr="00F01DDE">
        <w:rPr>
          <w:rFonts w:ascii="Arial" w:hAnsi="Arial" w:cs="Arial"/>
          <w:sz w:val="24"/>
          <w:szCs w:val="24"/>
        </w:rPr>
        <w:t xml:space="preserve"> na proizvodnim platformama u punom vlasništvu i distributivnim mrežama pod punom strateškom kontrolom. Grupa očekuje neto povećanje broja klijenata za 2,5 miliona tokom trajanja plana, uz podršku sveobuhvatne digitalne ponude i širenja savetodavnih kapaciteta u Italiji i inostranstvu.</w:t>
      </w:r>
    </w:p>
    <w:p w14:paraId="79970270" w14:textId="77777777" w:rsidR="006B7240" w:rsidRDefault="006B7240" w:rsidP="006B7240">
      <w:pPr>
        <w:jc w:val="both"/>
        <w:rPr>
          <w:rFonts w:ascii="Arial" w:hAnsi="Arial" w:cs="Arial"/>
          <w:b/>
          <w:bCs/>
          <w:sz w:val="24"/>
          <w:szCs w:val="24"/>
        </w:rPr>
      </w:pPr>
      <w:r w:rsidRPr="00F01DDE">
        <w:rPr>
          <w:rFonts w:ascii="Arial" w:hAnsi="Arial" w:cs="Arial"/>
          <w:b/>
          <w:bCs/>
          <w:sz w:val="24"/>
          <w:szCs w:val="24"/>
        </w:rPr>
        <w:t>Italija i međunarodne banke: rast kroz obim i sinergije</w:t>
      </w:r>
    </w:p>
    <w:p w14:paraId="314576D4" w14:textId="77777777" w:rsidR="006B7240" w:rsidRPr="00F01DDE" w:rsidRDefault="006B7240" w:rsidP="006B7240">
      <w:pPr>
        <w:jc w:val="both"/>
        <w:rPr>
          <w:rFonts w:ascii="Arial" w:hAnsi="Arial" w:cs="Arial"/>
          <w:b/>
          <w:bCs/>
          <w:sz w:val="24"/>
          <w:szCs w:val="24"/>
        </w:rPr>
      </w:pPr>
      <w:r w:rsidRPr="00F01DDE">
        <w:rPr>
          <w:rFonts w:ascii="Arial" w:hAnsi="Arial" w:cs="Arial"/>
          <w:sz w:val="24"/>
          <w:szCs w:val="24"/>
        </w:rPr>
        <w:t>U Italiji, Poslovni plan predviđa kontinuirani razvoj mreža</w:t>
      </w:r>
      <w:r>
        <w:rPr>
          <w:rFonts w:ascii="Arial" w:hAnsi="Arial" w:cs="Arial"/>
          <w:sz w:val="24"/>
          <w:szCs w:val="24"/>
        </w:rPr>
        <w:t xml:space="preserve"> savetnika</w:t>
      </w:r>
      <w:r w:rsidRPr="00F01DDE">
        <w:rPr>
          <w:rFonts w:ascii="Arial" w:hAnsi="Arial" w:cs="Arial"/>
          <w:sz w:val="24"/>
          <w:szCs w:val="24"/>
        </w:rPr>
        <w:t xml:space="preserve">, uključujući skaliranje mreže Global Advisors u okviru Divizije Banca dei Territori, koja bi trebalo da postane treća </w:t>
      </w:r>
      <w:r>
        <w:rPr>
          <w:rFonts w:ascii="Arial" w:hAnsi="Arial" w:cs="Arial"/>
          <w:sz w:val="24"/>
          <w:szCs w:val="24"/>
        </w:rPr>
        <w:t>po veličini</w:t>
      </w:r>
      <w:r w:rsidRPr="00F01DDE">
        <w:rPr>
          <w:rFonts w:ascii="Arial" w:hAnsi="Arial" w:cs="Arial"/>
          <w:sz w:val="24"/>
          <w:szCs w:val="24"/>
        </w:rPr>
        <w:t xml:space="preserve"> mreža </w:t>
      </w:r>
      <w:r>
        <w:rPr>
          <w:rFonts w:ascii="Arial" w:hAnsi="Arial" w:cs="Arial"/>
          <w:sz w:val="24"/>
          <w:szCs w:val="24"/>
        </w:rPr>
        <w:t xml:space="preserve">za </w:t>
      </w:r>
      <w:r w:rsidRPr="00F01DDE">
        <w:rPr>
          <w:rFonts w:ascii="Arial" w:hAnsi="Arial" w:cs="Arial"/>
          <w:sz w:val="24"/>
          <w:szCs w:val="24"/>
        </w:rPr>
        <w:t>finansijsk</w:t>
      </w:r>
      <w:r w:rsidRPr="00B51099">
        <w:rPr>
          <w:rFonts w:ascii="Arial" w:hAnsi="Arial" w:cs="Arial"/>
          <w:sz w:val="24"/>
          <w:szCs w:val="24"/>
        </w:rPr>
        <w:t>o savetovanje</w:t>
      </w:r>
      <w:r w:rsidRPr="00F01DDE">
        <w:rPr>
          <w:rFonts w:ascii="Arial" w:hAnsi="Arial" w:cs="Arial"/>
          <w:sz w:val="24"/>
          <w:szCs w:val="24"/>
        </w:rPr>
        <w:t xml:space="preserve"> u Italiji. Fideuram, kao deo Intesa Sanpaolo, zadržaće poziciju tržišnog lidera. </w:t>
      </w:r>
      <w:r w:rsidRPr="00B51099">
        <w:rPr>
          <w:rFonts w:ascii="Arial" w:hAnsi="Arial" w:cs="Arial"/>
          <w:sz w:val="24"/>
          <w:szCs w:val="24"/>
        </w:rPr>
        <w:t>Izv</w:t>
      </w:r>
      <w:r w:rsidRPr="00F01DDE">
        <w:rPr>
          <w:rFonts w:ascii="Arial" w:hAnsi="Arial" w:cs="Arial"/>
          <w:sz w:val="24"/>
          <w:szCs w:val="24"/>
        </w:rPr>
        <w:t xml:space="preserve">an Italije, Divizija međunarodnih banaka (IBD) pozicionirana je kao značajan generator rasta grupe. Plan predviđa </w:t>
      </w:r>
      <w:r>
        <w:rPr>
          <w:rFonts w:ascii="Arial" w:hAnsi="Arial" w:cs="Arial"/>
          <w:sz w:val="24"/>
          <w:szCs w:val="24"/>
        </w:rPr>
        <w:t>prenošenje</w:t>
      </w:r>
      <w:r w:rsidRPr="00F01DDE">
        <w:rPr>
          <w:rFonts w:ascii="Arial" w:hAnsi="Arial" w:cs="Arial"/>
          <w:sz w:val="24"/>
          <w:szCs w:val="24"/>
        </w:rPr>
        <w:t xml:space="preserve"> italijanskog poslovnog modela na međunarodne </w:t>
      </w:r>
      <w:r>
        <w:rPr>
          <w:rFonts w:ascii="Arial" w:hAnsi="Arial" w:cs="Arial"/>
          <w:sz w:val="24"/>
          <w:szCs w:val="24"/>
        </w:rPr>
        <w:t>članice</w:t>
      </w:r>
      <w:r w:rsidRPr="00F01DDE">
        <w:rPr>
          <w:rFonts w:ascii="Arial" w:hAnsi="Arial" w:cs="Arial"/>
          <w:sz w:val="24"/>
          <w:szCs w:val="24"/>
        </w:rPr>
        <w:t xml:space="preserve"> grupe, uz unapređene savetodavne kapacitete, tehnološku podršku i dublje sinergije sa ostalim divizijama grupe. Do 2029. godine</w:t>
      </w:r>
      <w:r>
        <w:rPr>
          <w:rFonts w:ascii="Arial" w:hAnsi="Arial" w:cs="Arial"/>
          <w:sz w:val="24"/>
          <w:szCs w:val="24"/>
        </w:rPr>
        <w:t>,</w:t>
      </w:r>
      <w:r w:rsidRPr="00F01DDE">
        <w:rPr>
          <w:rFonts w:ascii="Arial" w:hAnsi="Arial" w:cs="Arial"/>
          <w:sz w:val="24"/>
          <w:szCs w:val="24"/>
        </w:rPr>
        <w:t xml:space="preserve"> u okviru IBD biće uspostavljena savetodavna mreža sa oko 1.200 savetnika</w:t>
      </w:r>
      <w:r>
        <w:rPr>
          <w:rFonts w:ascii="Arial" w:hAnsi="Arial" w:cs="Arial"/>
          <w:sz w:val="24"/>
          <w:szCs w:val="24"/>
        </w:rPr>
        <w:t>,</w:t>
      </w:r>
      <w:r w:rsidRPr="00F01DDE">
        <w:rPr>
          <w:rFonts w:ascii="Arial" w:hAnsi="Arial" w:cs="Arial"/>
          <w:sz w:val="24"/>
          <w:szCs w:val="24"/>
        </w:rPr>
        <w:t xml:space="preserve"> po uzoru na Fideuram.</w:t>
      </w:r>
    </w:p>
    <w:p w14:paraId="50EC6B78" w14:textId="77777777" w:rsidR="006B7240" w:rsidRDefault="006B7240" w:rsidP="006B7240">
      <w:pPr>
        <w:jc w:val="both"/>
        <w:rPr>
          <w:rFonts w:ascii="Arial" w:hAnsi="Arial" w:cs="Arial"/>
          <w:b/>
          <w:bCs/>
          <w:sz w:val="24"/>
          <w:szCs w:val="24"/>
        </w:rPr>
      </w:pPr>
      <w:r>
        <w:rPr>
          <w:rFonts w:ascii="Arial" w:hAnsi="Arial" w:cs="Arial"/>
          <w:b/>
          <w:bCs/>
          <w:sz w:val="24"/>
          <w:szCs w:val="24"/>
        </w:rPr>
        <w:t xml:space="preserve">Strateška opcija u Evropi: </w:t>
      </w:r>
      <w:r w:rsidRPr="00F01DDE">
        <w:rPr>
          <w:rFonts w:ascii="Arial" w:hAnsi="Arial" w:cs="Arial"/>
          <w:b/>
          <w:bCs/>
          <w:sz w:val="24"/>
          <w:szCs w:val="24"/>
        </w:rPr>
        <w:t>isywealth Europe</w:t>
      </w:r>
    </w:p>
    <w:p w14:paraId="18E3CD3D" w14:textId="77777777" w:rsidR="006B7240" w:rsidRDefault="006B7240" w:rsidP="006B7240">
      <w:pPr>
        <w:jc w:val="both"/>
        <w:rPr>
          <w:rFonts w:ascii="Arial" w:hAnsi="Arial" w:cs="Arial"/>
          <w:sz w:val="24"/>
          <w:szCs w:val="24"/>
        </w:rPr>
      </w:pPr>
      <w:r w:rsidRPr="00F01DDE">
        <w:rPr>
          <w:rFonts w:ascii="Arial" w:hAnsi="Arial" w:cs="Arial"/>
          <w:sz w:val="24"/>
          <w:szCs w:val="24"/>
        </w:rPr>
        <w:t>Plan uvodi isywealth Europe kao novu stratešku opciju za srednjoročni rast. Oslanjajući se na lidersku poziciju Intesa Sanpaolo u oblasti upravljanja imovinom, značajna tehnološka ulaganja i postojeću mrežu ekspozitura, grupa prepoznaje priliku da se pozicionira na ključnim evropskim tržištima, uključujući Francusku, Nemačku i Španiju. Inicijativa kombinuje digitalne kapacitete sa razvojem obimne savetodavne mreže, uz korišćenje proizvodnih platformi u potpunom vlasništvu i selekt</w:t>
      </w:r>
      <w:r>
        <w:rPr>
          <w:rFonts w:ascii="Arial" w:hAnsi="Arial" w:cs="Arial"/>
          <w:sz w:val="24"/>
          <w:szCs w:val="24"/>
        </w:rPr>
        <w:t>ovanih</w:t>
      </w:r>
      <w:r w:rsidRPr="00F01DDE">
        <w:rPr>
          <w:rFonts w:ascii="Arial" w:hAnsi="Arial" w:cs="Arial"/>
          <w:sz w:val="24"/>
          <w:szCs w:val="24"/>
        </w:rPr>
        <w:t xml:space="preserve"> partnerstava sa globalnim liderima.</w:t>
      </w:r>
    </w:p>
    <w:p w14:paraId="54D47D37" w14:textId="77777777" w:rsidR="006B7240" w:rsidRPr="00F01DDE" w:rsidRDefault="006B7240" w:rsidP="006B7240">
      <w:pPr>
        <w:jc w:val="both"/>
        <w:rPr>
          <w:rFonts w:ascii="Arial" w:hAnsi="Arial" w:cs="Arial"/>
          <w:b/>
          <w:bCs/>
          <w:sz w:val="24"/>
          <w:szCs w:val="24"/>
        </w:rPr>
      </w:pPr>
    </w:p>
    <w:p w14:paraId="76454D30" w14:textId="77777777" w:rsidR="006B7240" w:rsidRPr="00F01DDE" w:rsidRDefault="006B7240" w:rsidP="006B7240">
      <w:pPr>
        <w:jc w:val="both"/>
        <w:rPr>
          <w:rFonts w:ascii="Arial" w:hAnsi="Arial" w:cs="Arial"/>
          <w:b/>
          <w:bCs/>
          <w:sz w:val="24"/>
          <w:szCs w:val="24"/>
        </w:rPr>
      </w:pPr>
      <w:r w:rsidRPr="00F01DDE">
        <w:rPr>
          <w:rFonts w:ascii="Arial" w:hAnsi="Arial" w:cs="Arial"/>
          <w:b/>
          <w:bCs/>
          <w:sz w:val="24"/>
          <w:szCs w:val="24"/>
        </w:rPr>
        <w:lastRenderedPageBreak/>
        <w:t>Finansijski ciljevi i povraćaj kapitala</w:t>
      </w:r>
    </w:p>
    <w:p w14:paraId="5BAF14D6" w14:textId="77777777" w:rsidR="006B7240" w:rsidRPr="00F01DDE" w:rsidRDefault="006B7240" w:rsidP="006B7240">
      <w:pPr>
        <w:jc w:val="both"/>
        <w:rPr>
          <w:rFonts w:ascii="Arial" w:hAnsi="Arial" w:cs="Arial"/>
          <w:sz w:val="24"/>
          <w:szCs w:val="24"/>
        </w:rPr>
      </w:pPr>
      <w:r w:rsidRPr="00F01DDE">
        <w:rPr>
          <w:rFonts w:ascii="Arial" w:hAnsi="Arial" w:cs="Arial"/>
          <w:sz w:val="24"/>
          <w:szCs w:val="24"/>
        </w:rPr>
        <w:t xml:space="preserve">Do 2029, Intesa Sanpaolo cilja neto dobit iznad 11,5 milijardi evra, uz ROE od 22% i ROTE od 27%. Očekuje se da će apsolutni troškovi biti smanjeni za 1,8% u periodu 2025–2029, dok se prihodi projektuju uz prosečnu godišnju stopu rasta (CAGR) od 3%. Finansijska aktiva klijenata trebalo bi da dostigne približno 1,7 biliona evra, dok će CET1 koeficijent osnovnog kapitala ostati iznad 12,5%. Trošak rizika očekuje se u rasponu od 25–30 baznih poena. U periodu 2025–2029, </w:t>
      </w:r>
      <w:r>
        <w:rPr>
          <w:rFonts w:ascii="Arial" w:hAnsi="Arial" w:cs="Arial"/>
          <w:sz w:val="24"/>
          <w:szCs w:val="24"/>
        </w:rPr>
        <w:t>g</w:t>
      </w:r>
      <w:r w:rsidRPr="00F01DDE">
        <w:rPr>
          <w:rFonts w:ascii="Arial" w:hAnsi="Arial" w:cs="Arial"/>
          <w:sz w:val="24"/>
          <w:szCs w:val="24"/>
        </w:rPr>
        <w:t xml:space="preserve">rupa planira ukupan povraćaj kapitala akcionarima od oko 50 milijardi evra, uz </w:t>
      </w:r>
      <w:r>
        <w:rPr>
          <w:rFonts w:ascii="Arial" w:hAnsi="Arial" w:cs="Arial"/>
          <w:sz w:val="24"/>
          <w:szCs w:val="24"/>
        </w:rPr>
        <w:t>koeficijent</w:t>
      </w:r>
      <w:r w:rsidRPr="00F01DDE">
        <w:rPr>
          <w:rFonts w:ascii="Arial" w:hAnsi="Arial" w:cs="Arial"/>
          <w:sz w:val="24"/>
          <w:szCs w:val="24"/>
        </w:rPr>
        <w:t xml:space="preserve"> isplate gotovinskih dividendi od 75% tokom trajanja plana, dok će otkupi sopstvenih akcija činiti oko 20% ukupnih distribucija.</w:t>
      </w:r>
    </w:p>
    <w:p w14:paraId="66BF2CE2" w14:textId="77777777" w:rsidR="006B7240" w:rsidRDefault="006B7240" w:rsidP="006B7240">
      <w:pPr>
        <w:jc w:val="both"/>
        <w:rPr>
          <w:rFonts w:ascii="Arial" w:hAnsi="Arial" w:cs="Arial"/>
          <w:b/>
          <w:bCs/>
          <w:sz w:val="24"/>
          <w:szCs w:val="24"/>
        </w:rPr>
      </w:pPr>
      <w:r w:rsidRPr="00F01DDE">
        <w:rPr>
          <w:rFonts w:ascii="Arial" w:hAnsi="Arial" w:cs="Arial"/>
          <w:b/>
          <w:bCs/>
          <w:sz w:val="24"/>
          <w:szCs w:val="24"/>
        </w:rPr>
        <w:t>Tehnologija, održivost i zainteresovane strane</w:t>
      </w:r>
    </w:p>
    <w:p w14:paraId="4F29BD75" w14:textId="77777777" w:rsidR="006B7240" w:rsidRDefault="006B7240" w:rsidP="006B7240">
      <w:pPr>
        <w:jc w:val="both"/>
        <w:rPr>
          <w:rFonts w:ascii="Arial" w:hAnsi="Arial" w:cs="Arial"/>
          <w:sz w:val="24"/>
          <w:szCs w:val="24"/>
        </w:rPr>
      </w:pPr>
      <w:r w:rsidRPr="00F01DDE">
        <w:rPr>
          <w:rFonts w:ascii="Arial" w:hAnsi="Arial" w:cs="Arial"/>
          <w:sz w:val="24"/>
          <w:szCs w:val="24"/>
        </w:rPr>
        <w:t xml:space="preserve">Tehnologija predstavlja ključni pokretač realizacije plana. </w:t>
      </w:r>
      <w:r>
        <w:rPr>
          <w:rFonts w:ascii="Arial" w:hAnsi="Arial" w:cs="Arial"/>
          <w:sz w:val="24"/>
          <w:szCs w:val="24"/>
        </w:rPr>
        <w:t>Š</w:t>
      </w:r>
      <w:r w:rsidRPr="00F01DDE">
        <w:rPr>
          <w:rFonts w:ascii="Arial" w:hAnsi="Arial" w:cs="Arial"/>
          <w:sz w:val="24"/>
          <w:szCs w:val="24"/>
        </w:rPr>
        <w:t xml:space="preserve">irom Intesa Sanpaolo </w:t>
      </w:r>
      <w:r>
        <w:rPr>
          <w:rFonts w:ascii="Arial" w:hAnsi="Arial" w:cs="Arial"/>
          <w:sz w:val="24"/>
          <w:szCs w:val="24"/>
        </w:rPr>
        <w:t xml:space="preserve">postepeno se uvodi </w:t>
      </w:r>
      <w:r w:rsidRPr="00F01DDE">
        <w:rPr>
          <w:rFonts w:ascii="Arial" w:hAnsi="Arial" w:cs="Arial"/>
          <w:sz w:val="24"/>
          <w:szCs w:val="24"/>
        </w:rPr>
        <w:t xml:space="preserve">isytech, digitalna platforma grupe u cloud-u, pri čemu se očekuje da će 100% aplikacija funkcionisati u cloud okruženju do 2029. Veštačka inteligencija će dodatno unaprediti produktivnost, operativnu efikasnost, upravljanje rizicima i interne kontrolne mehanizme u ključnim procesima. </w:t>
      </w:r>
    </w:p>
    <w:p w14:paraId="0F5605CD" w14:textId="77777777" w:rsidR="006B7240" w:rsidRPr="00F01DDE" w:rsidRDefault="006B7240" w:rsidP="006B7240">
      <w:pPr>
        <w:jc w:val="both"/>
        <w:rPr>
          <w:rFonts w:ascii="Arial" w:hAnsi="Arial" w:cs="Arial"/>
          <w:b/>
          <w:bCs/>
          <w:sz w:val="24"/>
          <w:szCs w:val="24"/>
        </w:rPr>
      </w:pPr>
      <w:r w:rsidRPr="00F01DDE">
        <w:rPr>
          <w:rFonts w:ascii="Arial" w:hAnsi="Arial" w:cs="Arial"/>
          <w:sz w:val="24"/>
          <w:szCs w:val="24"/>
        </w:rPr>
        <w:t xml:space="preserve">Poslovni plan je osmišljen tako da kreira vrednost za sve zainteresovane strane. Tokom četvorogodišnjeg perioda, Intesa Sanpaolo očekuje da doprinese realnoj ekonomiji sa približno 500 milijardi evra, uključujući više od 370 milijardi evra novog srednjoročnog i dugoročnog kreditiranja. Oko 30% sredstava biće usmereno na održivo finansiranje, uz dodatnih milijardu evra namenjenih inicijativama sa društvenim uticajem. Grupa takođe </w:t>
      </w:r>
      <w:r>
        <w:rPr>
          <w:rFonts w:ascii="Arial" w:hAnsi="Arial" w:cs="Arial"/>
          <w:sz w:val="24"/>
          <w:szCs w:val="24"/>
        </w:rPr>
        <w:t xml:space="preserve">ostaje dosledna </w:t>
      </w:r>
      <w:r w:rsidRPr="00F01DDE">
        <w:rPr>
          <w:rFonts w:ascii="Arial" w:hAnsi="Arial" w:cs="Arial"/>
          <w:sz w:val="24"/>
          <w:szCs w:val="24"/>
        </w:rPr>
        <w:t>svoj</w:t>
      </w:r>
      <w:r>
        <w:rPr>
          <w:rFonts w:ascii="Arial" w:hAnsi="Arial" w:cs="Arial"/>
          <w:sz w:val="24"/>
          <w:szCs w:val="24"/>
        </w:rPr>
        <w:t>im</w:t>
      </w:r>
      <w:r w:rsidRPr="00F01DDE">
        <w:rPr>
          <w:rFonts w:ascii="Arial" w:hAnsi="Arial" w:cs="Arial"/>
          <w:sz w:val="24"/>
          <w:szCs w:val="24"/>
        </w:rPr>
        <w:t xml:space="preserve"> klimatsk</w:t>
      </w:r>
      <w:r>
        <w:rPr>
          <w:rFonts w:ascii="Arial" w:hAnsi="Arial" w:cs="Arial"/>
          <w:sz w:val="24"/>
          <w:szCs w:val="24"/>
        </w:rPr>
        <w:t>im</w:t>
      </w:r>
      <w:r w:rsidRPr="00F01DDE">
        <w:rPr>
          <w:rFonts w:ascii="Arial" w:hAnsi="Arial" w:cs="Arial"/>
          <w:sz w:val="24"/>
          <w:szCs w:val="24"/>
        </w:rPr>
        <w:t xml:space="preserve"> obavez</w:t>
      </w:r>
      <w:r>
        <w:rPr>
          <w:rFonts w:ascii="Arial" w:hAnsi="Arial" w:cs="Arial"/>
          <w:sz w:val="24"/>
          <w:szCs w:val="24"/>
        </w:rPr>
        <w:t>ama</w:t>
      </w:r>
      <w:r w:rsidRPr="00F01DDE">
        <w:rPr>
          <w:rFonts w:ascii="Arial" w:hAnsi="Arial" w:cs="Arial"/>
          <w:sz w:val="24"/>
          <w:szCs w:val="24"/>
        </w:rPr>
        <w:t>.</w:t>
      </w:r>
    </w:p>
    <w:p w14:paraId="6AB59995" w14:textId="09432D87" w:rsidR="00B6293F" w:rsidRDefault="00B6293F" w:rsidP="00C87F13">
      <w:pPr>
        <w:pStyle w:val="Default"/>
        <w:jc w:val="both"/>
        <w:rPr>
          <w:rFonts w:ascii="Arial" w:hAnsi="Arial" w:cs="Arial"/>
        </w:rPr>
      </w:pPr>
    </w:p>
    <w:p w14:paraId="371F317B" w14:textId="77777777" w:rsidR="00B6293F" w:rsidRDefault="00B6293F" w:rsidP="00C87F13">
      <w:pPr>
        <w:pStyle w:val="Default"/>
        <w:jc w:val="both"/>
        <w:rPr>
          <w:rFonts w:ascii="Arial" w:hAnsi="Arial" w:cs="Arial"/>
        </w:rPr>
      </w:pPr>
    </w:p>
    <w:p w14:paraId="088FEE6F" w14:textId="77777777" w:rsidR="00FF658B" w:rsidRDefault="00FF658B" w:rsidP="00837135">
      <w:pPr>
        <w:pStyle w:val="Default"/>
        <w:jc w:val="both"/>
        <w:rPr>
          <w:rFonts w:ascii="Arial" w:hAnsi="Arial" w:cs="Arial"/>
          <w:i/>
        </w:rPr>
      </w:pPr>
    </w:p>
    <w:p w14:paraId="5EF81452" w14:textId="77777777" w:rsidR="00FF658B" w:rsidRDefault="00FF658B" w:rsidP="00837135">
      <w:pPr>
        <w:pStyle w:val="Default"/>
        <w:jc w:val="both"/>
        <w:rPr>
          <w:rFonts w:ascii="Arial" w:hAnsi="Arial" w:cs="Arial"/>
          <w:i/>
        </w:rPr>
      </w:pPr>
    </w:p>
    <w:p w14:paraId="25CF390C" w14:textId="77777777" w:rsidR="00FF658B" w:rsidRDefault="00FF658B" w:rsidP="00837135">
      <w:pPr>
        <w:pStyle w:val="Default"/>
        <w:jc w:val="both"/>
        <w:rPr>
          <w:rFonts w:ascii="Arial" w:hAnsi="Arial" w:cs="Arial"/>
          <w:i/>
        </w:rPr>
      </w:pPr>
    </w:p>
    <w:p w14:paraId="4C866B38" w14:textId="77777777" w:rsidR="00FF658B" w:rsidRDefault="00FF658B" w:rsidP="00837135">
      <w:pPr>
        <w:pStyle w:val="Default"/>
        <w:jc w:val="both"/>
        <w:rPr>
          <w:rFonts w:ascii="Arial" w:hAnsi="Arial" w:cs="Arial"/>
          <w:i/>
        </w:rPr>
      </w:pPr>
    </w:p>
    <w:p w14:paraId="43CFBFFC" w14:textId="77777777" w:rsidR="00FF658B" w:rsidRDefault="00FF658B" w:rsidP="00837135">
      <w:pPr>
        <w:pStyle w:val="Default"/>
        <w:jc w:val="both"/>
        <w:rPr>
          <w:rFonts w:ascii="Arial" w:hAnsi="Arial" w:cs="Arial"/>
          <w:i/>
        </w:rPr>
      </w:pPr>
    </w:p>
    <w:p w14:paraId="1CBF00BA" w14:textId="77777777" w:rsidR="00FF658B" w:rsidRDefault="00FF658B" w:rsidP="00837135">
      <w:pPr>
        <w:pStyle w:val="Default"/>
        <w:jc w:val="both"/>
        <w:rPr>
          <w:rFonts w:ascii="Arial" w:hAnsi="Arial" w:cs="Arial"/>
          <w:i/>
        </w:rPr>
      </w:pPr>
    </w:p>
    <w:p w14:paraId="1857CE33" w14:textId="77777777" w:rsidR="00FF658B" w:rsidRDefault="00FF658B" w:rsidP="00837135">
      <w:pPr>
        <w:pStyle w:val="Default"/>
        <w:jc w:val="both"/>
        <w:rPr>
          <w:rFonts w:ascii="Arial" w:hAnsi="Arial" w:cs="Arial"/>
          <w:i/>
        </w:rPr>
      </w:pPr>
    </w:p>
    <w:p w14:paraId="1B1150CF" w14:textId="77777777" w:rsidR="00FF658B" w:rsidRDefault="00FF658B" w:rsidP="00837135">
      <w:pPr>
        <w:pStyle w:val="Default"/>
        <w:jc w:val="both"/>
        <w:rPr>
          <w:rFonts w:ascii="Arial" w:hAnsi="Arial" w:cs="Arial"/>
          <w:i/>
        </w:rPr>
      </w:pPr>
    </w:p>
    <w:p w14:paraId="3416B772" w14:textId="77777777" w:rsidR="00FF658B" w:rsidRDefault="00FF658B" w:rsidP="00837135">
      <w:pPr>
        <w:pStyle w:val="Default"/>
        <w:jc w:val="both"/>
        <w:rPr>
          <w:rFonts w:ascii="Arial" w:hAnsi="Arial" w:cs="Arial"/>
          <w:i/>
        </w:rPr>
      </w:pPr>
    </w:p>
    <w:p w14:paraId="3D6C0292" w14:textId="77777777" w:rsidR="00FF658B" w:rsidRPr="00091EBE" w:rsidRDefault="00FF658B" w:rsidP="00837135">
      <w:pPr>
        <w:pStyle w:val="Default"/>
        <w:jc w:val="both"/>
        <w:rPr>
          <w:rFonts w:ascii="Arial" w:hAnsi="Arial" w:cs="Arial"/>
          <w:i/>
        </w:rPr>
      </w:pPr>
    </w:p>
    <w:p w14:paraId="499F91C7" w14:textId="75B6F768" w:rsidR="00795293" w:rsidRPr="00795293" w:rsidRDefault="008E13A5" w:rsidP="00795293">
      <w:pPr>
        <w:pBdr>
          <w:top w:val="single" w:sz="4" w:space="1" w:color="auto"/>
        </w:pBdr>
        <w:spacing w:before="91"/>
        <w:jc w:val="both"/>
        <w:rPr>
          <w:rFonts w:ascii="Arial" w:hAnsi="Arial" w:cs="Arial"/>
          <w:bCs/>
          <w:sz w:val="20"/>
          <w:szCs w:val="20"/>
        </w:rPr>
      </w:pPr>
      <w:r w:rsidRPr="003A7F25">
        <w:rPr>
          <w:rFonts w:ascii="Arial" w:hAnsi="Arial" w:cs="Arial"/>
          <w:b/>
          <w:sz w:val="20"/>
          <w:szCs w:val="20"/>
        </w:rPr>
        <w:t>Intesa Sanpaolo</w:t>
      </w:r>
      <w:r w:rsidR="00795293">
        <w:rPr>
          <w:rFonts w:ascii="Arial" w:hAnsi="Arial" w:cs="Arial"/>
          <w:b/>
          <w:sz w:val="20"/>
          <w:szCs w:val="20"/>
        </w:rPr>
        <w:t xml:space="preserve"> </w:t>
      </w:r>
      <w:r w:rsidR="00795293" w:rsidRPr="00795293">
        <w:rPr>
          <w:rFonts w:ascii="Arial" w:hAnsi="Arial" w:cs="Arial"/>
          <w:bCs/>
          <w:sz w:val="20"/>
          <w:szCs w:val="20"/>
        </w:rPr>
        <w:t>je</w:t>
      </w:r>
      <w:r w:rsidR="00795293">
        <w:rPr>
          <w:rFonts w:ascii="Arial" w:hAnsi="Arial" w:cs="Arial"/>
          <w:bCs/>
          <w:sz w:val="20"/>
          <w:szCs w:val="20"/>
        </w:rPr>
        <w:t xml:space="preserve"> je</w:t>
      </w:r>
      <w:r w:rsidR="00795293" w:rsidRPr="00795293">
        <w:rPr>
          <w:rFonts w:ascii="Arial" w:hAnsi="Arial" w:cs="Arial"/>
          <w:bCs/>
          <w:sz w:val="20"/>
          <w:szCs w:val="20"/>
        </w:rPr>
        <w:t xml:space="preserve">dna od vodećih bankarskih grupa u Evropi (sa tržišnom kapitalizacijom od </w:t>
      </w:r>
      <w:r w:rsidR="00C567BB">
        <w:rPr>
          <w:rFonts w:ascii="Arial" w:hAnsi="Arial" w:cs="Arial"/>
          <w:bCs/>
          <w:sz w:val="20"/>
          <w:szCs w:val="20"/>
        </w:rPr>
        <w:t>103,1</w:t>
      </w:r>
      <w:r w:rsidR="00795293" w:rsidRPr="00795293">
        <w:rPr>
          <w:rFonts w:ascii="Arial" w:hAnsi="Arial" w:cs="Arial"/>
          <w:bCs/>
          <w:sz w:val="20"/>
          <w:szCs w:val="20"/>
        </w:rPr>
        <w:t xml:space="preserve"> milijard</w:t>
      </w:r>
      <w:r w:rsidR="00C567BB">
        <w:rPr>
          <w:rFonts w:ascii="Arial" w:hAnsi="Arial" w:cs="Arial"/>
          <w:bCs/>
          <w:sz w:val="20"/>
          <w:szCs w:val="20"/>
        </w:rPr>
        <w:t>e</w:t>
      </w:r>
      <w:r w:rsidR="00795293" w:rsidRPr="00795293">
        <w:rPr>
          <w:rFonts w:ascii="Arial" w:hAnsi="Arial" w:cs="Arial"/>
          <w:bCs/>
          <w:sz w:val="20"/>
          <w:szCs w:val="20"/>
        </w:rPr>
        <w:t xml:space="preserve"> evra), sa snažnom posvećenošću ESG principima, uključujući klimatske ciljeve, i svetski prepoznatom pozicijom u oblasti društvenog uticaja.</w:t>
      </w:r>
    </w:p>
    <w:p w14:paraId="09A8570A" w14:textId="0D7E5DDE" w:rsidR="00795293" w:rsidRPr="00795293" w:rsidRDefault="00795293" w:rsidP="00795293">
      <w:pPr>
        <w:pBdr>
          <w:top w:val="single" w:sz="4" w:space="1" w:color="auto"/>
        </w:pBdr>
        <w:spacing w:before="91"/>
        <w:jc w:val="both"/>
        <w:rPr>
          <w:rFonts w:ascii="Arial" w:hAnsi="Arial" w:cs="Arial"/>
          <w:bCs/>
          <w:sz w:val="20"/>
          <w:szCs w:val="20"/>
        </w:rPr>
      </w:pPr>
      <w:r w:rsidRPr="00795293">
        <w:rPr>
          <w:rFonts w:ascii="Arial" w:hAnsi="Arial" w:cs="Arial"/>
          <w:bCs/>
          <w:sz w:val="20"/>
          <w:szCs w:val="20"/>
        </w:rPr>
        <w:t xml:space="preserve">Intesa Sanpaolo je lider u Italiji u svim segmentima poslovanja – </w:t>
      </w:r>
      <w:r>
        <w:rPr>
          <w:rFonts w:ascii="Arial" w:hAnsi="Arial" w:cs="Arial"/>
          <w:bCs/>
          <w:sz w:val="20"/>
          <w:szCs w:val="20"/>
        </w:rPr>
        <w:t xml:space="preserve">poslovanju sa stanovništvom, poslovanju sa privredom </w:t>
      </w:r>
      <w:r w:rsidRPr="00795293">
        <w:rPr>
          <w:rFonts w:ascii="Arial" w:hAnsi="Arial" w:cs="Arial"/>
          <w:bCs/>
          <w:sz w:val="20"/>
          <w:szCs w:val="20"/>
        </w:rPr>
        <w:t xml:space="preserve">i upravljanju imovinom. Grupa </w:t>
      </w:r>
      <w:r>
        <w:rPr>
          <w:rFonts w:ascii="Arial" w:hAnsi="Arial" w:cs="Arial"/>
          <w:bCs/>
          <w:sz w:val="20"/>
          <w:szCs w:val="20"/>
        </w:rPr>
        <w:t>uslužuje</w:t>
      </w:r>
      <w:r w:rsidRPr="00795293">
        <w:rPr>
          <w:rFonts w:ascii="Arial" w:hAnsi="Arial" w:cs="Arial"/>
          <w:bCs/>
          <w:sz w:val="20"/>
          <w:szCs w:val="20"/>
        </w:rPr>
        <w:t xml:space="preserve"> oko 13,9 miliona klijenata putem mreže od preko 2.800 </w:t>
      </w:r>
      <w:r>
        <w:rPr>
          <w:rFonts w:ascii="Arial" w:hAnsi="Arial" w:cs="Arial"/>
          <w:bCs/>
          <w:sz w:val="20"/>
          <w:szCs w:val="20"/>
        </w:rPr>
        <w:t>ekspozitura</w:t>
      </w:r>
      <w:r w:rsidRPr="00795293">
        <w:rPr>
          <w:rFonts w:ascii="Arial" w:hAnsi="Arial" w:cs="Arial"/>
          <w:bCs/>
          <w:sz w:val="20"/>
          <w:szCs w:val="20"/>
        </w:rPr>
        <w:t xml:space="preserve"> ravnomerno raspoređenih širom zemlje.</w:t>
      </w:r>
    </w:p>
    <w:p w14:paraId="1A1FC2A6" w14:textId="4EB90CDE" w:rsidR="00795293" w:rsidRPr="00795293" w:rsidRDefault="00795293" w:rsidP="00795293">
      <w:pPr>
        <w:pBdr>
          <w:top w:val="single" w:sz="4" w:space="1" w:color="auto"/>
        </w:pBdr>
        <w:spacing w:before="91"/>
        <w:jc w:val="both"/>
        <w:rPr>
          <w:rFonts w:ascii="Arial" w:hAnsi="Arial" w:cs="Arial"/>
          <w:bCs/>
          <w:sz w:val="20"/>
          <w:szCs w:val="20"/>
        </w:rPr>
      </w:pPr>
      <w:r w:rsidRPr="00795293">
        <w:rPr>
          <w:rFonts w:ascii="Arial" w:hAnsi="Arial" w:cs="Arial"/>
          <w:bCs/>
          <w:sz w:val="20"/>
          <w:szCs w:val="20"/>
        </w:rPr>
        <w:t xml:space="preserve">Intesa Sanpaolo ima strateško međunarodno prisustvo, sa više od 900 </w:t>
      </w:r>
      <w:r w:rsidR="007238D5">
        <w:rPr>
          <w:rFonts w:ascii="Arial" w:hAnsi="Arial" w:cs="Arial"/>
          <w:bCs/>
          <w:sz w:val="20"/>
          <w:szCs w:val="20"/>
        </w:rPr>
        <w:t>ekspozitura</w:t>
      </w:r>
      <w:r w:rsidRPr="00795293">
        <w:rPr>
          <w:rFonts w:ascii="Arial" w:hAnsi="Arial" w:cs="Arial"/>
          <w:bCs/>
          <w:sz w:val="20"/>
          <w:szCs w:val="20"/>
        </w:rPr>
        <w:t xml:space="preserve"> i oko 7,6 miliona klijenata</w:t>
      </w:r>
      <w:r w:rsidR="007238D5">
        <w:rPr>
          <w:rFonts w:ascii="Arial" w:hAnsi="Arial" w:cs="Arial"/>
          <w:bCs/>
          <w:sz w:val="20"/>
          <w:szCs w:val="20"/>
        </w:rPr>
        <w:t xml:space="preserve"> svojih članica </w:t>
      </w:r>
      <w:r w:rsidRPr="00795293">
        <w:rPr>
          <w:rFonts w:ascii="Arial" w:hAnsi="Arial" w:cs="Arial"/>
          <w:bCs/>
          <w:sz w:val="20"/>
          <w:szCs w:val="20"/>
        </w:rPr>
        <w:t>koj</w:t>
      </w:r>
      <w:r w:rsidR="007238D5">
        <w:rPr>
          <w:rFonts w:ascii="Arial" w:hAnsi="Arial" w:cs="Arial"/>
          <w:bCs/>
          <w:sz w:val="20"/>
          <w:szCs w:val="20"/>
        </w:rPr>
        <w:t>e</w:t>
      </w:r>
      <w:r w:rsidRPr="00795293">
        <w:rPr>
          <w:rFonts w:ascii="Arial" w:hAnsi="Arial" w:cs="Arial"/>
          <w:bCs/>
          <w:sz w:val="20"/>
          <w:szCs w:val="20"/>
        </w:rPr>
        <w:t xml:space="preserve"> se bave komercijalnim bankarstvom u 12 zemalja Centralne i Istočne Evrope, Bliskog istoka i severne Afrike, kao i međunarodnu mrežu specijalizovanih timova koji podržavaju korporativne klijente u 2</w:t>
      </w:r>
      <w:r w:rsidR="00493A42">
        <w:rPr>
          <w:rFonts w:ascii="Arial" w:hAnsi="Arial" w:cs="Arial"/>
          <w:bCs/>
          <w:sz w:val="20"/>
          <w:szCs w:val="20"/>
        </w:rPr>
        <w:t>4</w:t>
      </w:r>
      <w:r w:rsidRPr="00795293">
        <w:rPr>
          <w:rFonts w:ascii="Arial" w:hAnsi="Arial" w:cs="Arial"/>
          <w:bCs/>
          <w:sz w:val="20"/>
          <w:szCs w:val="20"/>
        </w:rPr>
        <w:t xml:space="preserve"> zem</w:t>
      </w:r>
      <w:r w:rsidR="00493A42">
        <w:rPr>
          <w:rFonts w:ascii="Arial" w:hAnsi="Arial" w:cs="Arial"/>
          <w:bCs/>
          <w:sz w:val="20"/>
          <w:szCs w:val="20"/>
        </w:rPr>
        <w:t>lje</w:t>
      </w:r>
      <w:r w:rsidRPr="00795293">
        <w:rPr>
          <w:rFonts w:ascii="Arial" w:hAnsi="Arial" w:cs="Arial"/>
          <w:bCs/>
          <w:sz w:val="20"/>
          <w:szCs w:val="20"/>
        </w:rPr>
        <w:t>, posebno na Bliskom istoku, u severnoj Africi i regionima u kojima su italijanske kompanije najaktivnije.</w:t>
      </w:r>
    </w:p>
    <w:sectPr w:rsidR="00795293" w:rsidRPr="0079529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B17463" w14:textId="77777777" w:rsidR="009A2186" w:rsidRDefault="009A2186" w:rsidP="005C4460">
      <w:pPr>
        <w:spacing w:after="0" w:line="240" w:lineRule="auto"/>
      </w:pPr>
      <w:r>
        <w:separator/>
      </w:r>
    </w:p>
  </w:endnote>
  <w:endnote w:type="continuationSeparator" w:id="0">
    <w:p w14:paraId="33BD161A" w14:textId="77777777" w:rsidR="009A2186" w:rsidRDefault="009A2186" w:rsidP="005C44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38F51D" w14:textId="77777777" w:rsidR="009A2186" w:rsidRDefault="009A2186" w:rsidP="005C4460">
      <w:pPr>
        <w:spacing w:after="0" w:line="240" w:lineRule="auto"/>
      </w:pPr>
      <w:r>
        <w:separator/>
      </w:r>
    </w:p>
  </w:footnote>
  <w:footnote w:type="continuationSeparator" w:id="0">
    <w:p w14:paraId="2ECFD681" w14:textId="77777777" w:rsidR="009A2186" w:rsidRDefault="009A2186" w:rsidP="005C44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B2143B4"/>
    <w:multiLevelType w:val="hybridMultilevel"/>
    <w:tmpl w:val="F1AEB1D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5BC21C9"/>
    <w:multiLevelType w:val="hybridMultilevel"/>
    <w:tmpl w:val="1691797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E84F117"/>
    <w:multiLevelType w:val="hybridMultilevel"/>
    <w:tmpl w:val="0055DC6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B11490"/>
    <w:multiLevelType w:val="multilevel"/>
    <w:tmpl w:val="176E5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F961FB"/>
    <w:multiLevelType w:val="multilevel"/>
    <w:tmpl w:val="30241A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244C2B"/>
    <w:multiLevelType w:val="multilevel"/>
    <w:tmpl w:val="9C3A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67DDA2"/>
    <w:multiLevelType w:val="hybridMultilevel"/>
    <w:tmpl w:val="146199A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CDA3333"/>
    <w:multiLevelType w:val="hybridMultilevel"/>
    <w:tmpl w:val="E8AE1FF2"/>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8" w15:restartNumberingAfterBreak="0">
    <w:nsid w:val="10C9D573"/>
    <w:multiLevelType w:val="hybridMultilevel"/>
    <w:tmpl w:val="8A3D3C7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0FC4A12"/>
    <w:multiLevelType w:val="multilevel"/>
    <w:tmpl w:val="D2D6D1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49C6394"/>
    <w:multiLevelType w:val="hybridMultilevel"/>
    <w:tmpl w:val="E33E67B4"/>
    <w:lvl w:ilvl="0" w:tplc="241A0001">
      <w:start w:val="1"/>
      <w:numFmt w:val="bullet"/>
      <w:lvlText w:val=""/>
      <w:lvlJc w:val="left"/>
      <w:pPr>
        <w:ind w:left="360" w:hanging="360"/>
      </w:pPr>
      <w:rPr>
        <w:rFonts w:ascii="Symbol" w:hAnsi="Symbol" w:hint="default"/>
      </w:rPr>
    </w:lvl>
    <w:lvl w:ilvl="1" w:tplc="241A0003" w:tentative="1">
      <w:start w:val="1"/>
      <w:numFmt w:val="bullet"/>
      <w:lvlText w:val="o"/>
      <w:lvlJc w:val="left"/>
      <w:pPr>
        <w:ind w:left="1080" w:hanging="360"/>
      </w:pPr>
      <w:rPr>
        <w:rFonts w:ascii="Courier New" w:hAnsi="Courier New" w:cs="Courier New" w:hint="default"/>
      </w:rPr>
    </w:lvl>
    <w:lvl w:ilvl="2" w:tplc="241A0005" w:tentative="1">
      <w:start w:val="1"/>
      <w:numFmt w:val="bullet"/>
      <w:lvlText w:val=""/>
      <w:lvlJc w:val="left"/>
      <w:pPr>
        <w:ind w:left="1800" w:hanging="360"/>
      </w:pPr>
      <w:rPr>
        <w:rFonts w:ascii="Wingdings" w:hAnsi="Wingdings" w:hint="default"/>
      </w:rPr>
    </w:lvl>
    <w:lvl w:ilvl="3" w:tplc="241A0001" w:tentative="1">
      <w:start w:val="1"/>
      <w:numFmt w:val="bullet"/>
      <w:lvlText w:val=""/>
      <w:lvlJc w:val="left"/>
      <w:pPr>
        <w:ind w:left="2520" w:hanging="360"/>
      </w:pPr>
      <w:rPr>
        <w:rFonts w:ascii="Symbol" w:hAnsi="Symbol" w:hint="default"/>
      </w:rPr>
    </w:lvl>
    <w:lvl w:ilvl="4" w:tplc="241A0003" w:tentative="1">
      <w:start w:val="1"/>
      <w:numFmt w:val="bullet"/>
      <w:lvlText w:val="o"/>
      <w:lvlJc w:val="left"/>
      <w:pPr>
        <w:ind w:left="3240" w:hanging="360"/>
      </w:pPr>
      <w:rPr>
        <w:rFonts w:ascii="Courier New" w:hAnsi="Courier New" w:cs="Courier New" w:hint="default"/>
      </w:rPr>
    </w:lvl>
    <w:lvl w:ilvl="5" w:tplc="241A0005" w:tentative="1">
      <w:start w:val="1"/>
      <w:numFmt w:val="bullet"/>
      <w:lvlText w:val=""/>
      <w:lvlJc w:val="left"/>
      <w:pPr>
        <w:ind w:left="3960" w:hanging="360"/>
      </w:pPr>
      <w:rPr>
        <w:rFonts w:ascii="Wingdings" w:hAnsi="Wingdings" w:hint="default"/>
      </w:rPr>
    </w:lvl>
    <w:lvl w:ilvl="6" w:tplc="241A0001" w:tentative="1">
      <w:start w:val="1"/>
      <w:numFmt w:val="bullet"/>
      <w:lvlText w:val=""/>
      <w:lvlJc w:val="left"/>
      <w:pPr>
        <w:ind w:left="4680" w:hanging="360"/>
      </w:pPr>
      <w:rPr>
        <w:rFonts w:ascii="Symbol" w:hAnsi="Symbol" w:hint="default"/>
      </w:rPr>
    </w:lvl>
    <w:lvl w:ilvl="7" w:tplc="241A0003" w:tentative="1">
      <w:start w:val="1"/>
      <w:numFmt w:val="bullet"/>
      <w:lvlText w:val="o"/>
      <w:lvlJc w:val="left"/>
      <w:pPr>
        <w:ind w:left="5400" w:hanging="360"/>
      </w:pPr>
      <w:rPr>
        <w:rFonts w:ascii="Courier New" w:hAnsi="Courier New" w:cs="Courier New" w:hint="default"/>
      </w:rPr>
    </w:lvl>
    <w:lvl w:ilvl="8" w:tplc="241A0005" w:tentative="1">
      <w:start w:val="1"/>
      <w:numFmt w:val="bullet"/>
      <w:lvlText w:val=""/>
      <w:lvlJc w:val="left"/>
      <w:pPr>
        <w:ind w:left="6120" w:hanging="360"/>
      </w:pPr>
      <w:rPr>
        <w:rFonts w:ascii="Wingdings" w:hAnsi="Wingdings" w:hint="default"/>
      </w:rPr>
    </w:lvl>
  </w:abstractNum>
  <w:abstractNum w:abstractNumId="11" w15:restartNumberingAfterBreak="0">
    <w:nsid w:val="1CC855C0"/>
    <w:multiLevelType w:val="hybridMultilevel"/>
    <w:tmpl w:val="1C50772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1D850EB9"/>
    <w:multiLevelType w:val="hybridMultilevel"/>
    <w:tmpl w:val="7B6778B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1DC56451"/>
    <w:multiLevelType w:val="hybridMultilevel"/>
    <w:tmpl w:val="2966D3E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2029F774"/>
    <w:multiLevelType w:val="hybridMultilevel"/>
    <w:tmpl w:val="47C1AA9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226F3D52"/>
    <w:multiLevelType w:val="multilevel"/>
    <w:tmpl w:val="66DC6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4373FD"/>
    <w:multiLevelType w:val="multilevel"/>
    <w:tmpl w:val="0A34B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51A0032"/>
    <w:multiLevelType w:val="multilevel"/>
    <w:tmpl w:val="663800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197EE6"/>
    <w:multiLevelType w:val="multilevel"/>
    <w:tmpl w:val="2C2298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C00148"/>
    <w:multiLevelType w:val="multilevel"/>
    <w:tmpl w:val="A9D0F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CF521E"/>
    <w:multiLevelType w:val="multilevel"/>
    <w:tmpl w:val="03425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761BA0"/>
    <w:multiLevelType w:val="hybridMultilevel"/>
    <w:tmpl w:val="0D4457DA"/>
    <w:lvl w:ilvl="0" w:tplc="241A0003">
      <w:start w:val="1"/>
      <w:numFmt w:val="bullet"/>
      <w:lvlText w:val="o"/>
      <w:lvlJc w:val="left"/>
      <w:pPr>
        <w:ind w:left="720" w:hanging="360"/>
      </w:pPr>
      <w:rPr>
        <w:rFonts w:ascii="Courier New" w:hAnsi="Courier New" w:cs="Courier New"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2" w15:restartNumberingAfterBreak="0">
    <w:nsid w:val="3E951A6C"/>
    <w:multiLevelType w:val="multilevel"/>
    <w:tmpl w:val="C52E2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F5A1A5A"/>
    <w:multiLevelType w:val="multilevel"/>
    <w:tmpl w:val="5686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ACE314"/>
    <w:multiLevelType w:val="hybridMultilevel"/>
    <w:tmpl w:val="47D7AE8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40262F68"/>
    <w:multiLevelType w:val="hybridMultilevel"/>
    <w:tmpl w:val="5F069F2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432C33E1"/>
    <w:multiLevelType w:val="multilevel"/>
    <w:tmpl w:val="18C81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9B232A"/>
    <w:multiLevelType w:val="hybridMultilevel"/>
    <w:tmpl w:val="D2C3F28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542DF5BF"/>
    <w:multiLevelType w:val="hybridMultilevel"/>
    <w:tmpl w:val="5A1A66F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54EF1B21"/>
    <w:multiLevelType w:val="multilevel"/>
    <w:tmpl w:val="F20E8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6E968B6"/>
    <w:multiLevelType w:val="hybridMultilevel"/>
    <w:tmpl w:val="C7C0988A"/>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1" w15:restartNumberingAfterBreak="0">
    <w:nsid w:val="5DF13A16"/>
    <w:multiLevelType w:val="hybridMultilevel"/>
    <w:tmpl w:val="57AAAC54"/>
    <w:lvl w:ilvl="0" w:tplc="7B7008AE">
      <w:numFmt w:val="bullet"/>
      <w:lvlText w:val="-"/>
      <w:lvlJc w:val="left"/>
      <w:pPr>
        <w:ind w:left="720" w:hanging="360"/>
      </w:pPr>
      <w:rPr>
        <w:rFonts w:ascii="Arial" w:eastAsiaTheme="minorHAnsi" w:hAnsi="Arial" w:cs="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2" w15:restartNumberingAfterBreak="0">
    <w:nsid w:val="5EE33047"/>
    <w:multiLevelType w:val="hybridMultilevel"/>
    <w:tmpl w:val="941B118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601D0F8C"/>
    <w:multiLevelType w:val="multilevel"/>
    <w:tmpl w:val="31482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27F780E"/>
    <w:multiLevelType w:val="multilevel"/>
    <w:tmpl w:val="267A75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142FD6"/>
    <w:multiLevelType w:val="hybridMultilevel"/>
    <w:tmpl w:val="283D2AD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6B11369F"/>
    <w:multiLevelType w:val="hybridMultilevel"/>
    <w:tmpl w:val="57A0E706"/>
    <w:lvl w:ilvl="0" w:tplc="241A0003">
      <w:start w:val="1"/>
      <w:numFmt w:val="bullet"/>
      <w:lvlText w:val="o"/>
      <w:lvlJc w:val="left"/>
      <w:pPr>
        <w:ind w:left="720" w:hanging="360"/>
      </w:pPr>
      <w:rPr>
        <w:rFonts w:ascii="Courier New" w:hAnsi="Courier New" w:cs="Courier New"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7" w15:restartNumberingAfterBreak="0">
    <w:nsid w:val="6B950562"/>
    <w:multiLevelType w:val="multilevel"/>
    <w:tmpl w:val="52B66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20F40F"/>
    <w:multiLevelType w:val="hybridMultilevel"/>
    <w:tmpl w:val="67104EC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789A7015"/>
    <w:multiLevelType w:val="multilevel"/>
    <w:tmpl w:val="547EF2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02522405">
    <w:abstractNumId w:val="11"/>
  </w:num>
  <w:num w:numId="2" w16cid:durableId="493568515">
    <w:abstractNumId w:val="8"/>
  </w:num>
  <w:num w:numId="3" w16cid:durableId="1528442857">
    <w:abstractNumId w:val="38"/>
  </w:num>
  <w:num w:numId="4" w16cid:durableId="138307805">
    <w:abstractNumId w:val="35"/>
  </w:num>
  <w:num w:numId="5" w16cid:durableId="1311516794">
    <w:abstractNumId w:val="25"/>
  </w:num>
  <w:num w:numId="6" w16cid:durableId="1327320135">
    <w:abstractNumId w:val="32"/>
  </w:num>
  <w:num w:numId="7" w16cid:durableId="645361600">
    <w:abstractNumId w:val="27"/>
  </w:num>
  <w:num w:numId="8" w16cid:durableId="956832374">
    <w:abstractNumId w:val="1"/>
  </w:num>
  <w:num w:numId="9" w16cid:durableId="1559123157">
    <w:abstractNumId w:val="2"/>
  </w:num>
  <w:num w:numId="10" w16cid:durableId="228077799">
    <w:abstractNumId w:val="12"/>
  </w:num>
  <w:num w:numId="11" w16cid:durableId="126121175">
    <w:abstractNumId w:val="24"/>
  </w:num>
  <w:num w:numId="12" w16cid:durableId="349993661">
    <w:abstractNumId w:val="13"/>
  </w:num>
  <w:num w:numId="13" w16cid:durableId="879049766">
    <w:abstractNumId w:val="0"/>
  </w:num>
  <w:num w:numId="14" w16cid:durableId="815100529">
    <w:abstractNumId w:val="14"/>
  </w:num>
  <w:num w:numId="15" w16cid:durableId="748311138">
    <w:abstractNumId w:val="7"/>
  </w:num>
  <w:num w:numId="16" w16cid:durableId="423499911">
    <w:abstractNumId w:val="30"/>
  </w:num>
  <w:num w:numId="17" w16cid:durableId="1509516379">
    <w:abstractNumId w:val="36"/>
  </w:num>
  <w:num w:numId="18" w16cid:durableId="203249932">
    <w:abstractNumId w:val="21"/>
  </w:num>
  <w:num w:numId="19" w16cid:durableId="905917409">
    <w:abstractNumId w:val="28"/>
  </w:num>
  <w:num w:numId="20" w16cid:durableId="2027749945">
    <w:abstractNumId w:val="6"/>
  </w:num>
  <w:num w:numId="21" w16cid:durableId="75445604">
    <w:abstractNumId w:val="26"/>
  </w:num>
  <w:num w:numId="22" w16cid:durableId="1235623490">
    <w:abstractNumId w:val="5"/>
  </w:num>
  <w:num w:numId="23" w16cid:durableId="1422870303">
    <w:abstractNumId w:val="3"/>
  </w:num>
  <w:num w:numId="24" w16cid:durableId="825051985">
    <w:abstractNumId w:val="22"/>
  </w:num>
  <w:num w:numId="25" w16cid:durableId="1057052348">
    <w:abstractNumId w:val="19"/>
  </w:num>
  <w:num w:numId="26" w16cid:durableId="1975525074">
    <w:abstractNumId w:val="34"/>
  </w:num>
  <w:num w:numId="27" w16cid:durableId="908660243">
    <w:abstractNumId w:val="4"/>
  </w:num>
  <w:num w:numId="28" w16cid:durableId="431508939">
    <w:abstractNumId w:val="37"/>
  </w:num>
  <w:num w:numId="29" w16cid:durableId="116803516">
    <w:abstractNumId w:val="16"/>
  </w:num>
  <w:num w:numId="30" w16cid:durableId="1841190746">
    <w:abstractNumId w:val="23"/>
  </w:num>
  <w:num w:numId="31" w16cid:durableId="953365851">
    <w:abstractNumId w:val="29"/>
  </w:num>
  <w:num w:numId="32" w16cid:durableId="474105970">
    <w:abstractNumId w:val="15"/>
  </w:num>
  <w:num w:numId="33" w16cid:durableId="14116334">
    <w:abstractNumId w:val="39"/>
  </w:num>
  <w:num w:numId="34" w16cid:durableId="225841581">
    <w:abstractNumId w:val="17"/>
  </w:num>
  <w:num w:numId="35" w16cid:durableId="1439326251">
    <w:abstractNumId w:val="10"/>
  </w:num>
  <w:num w:numId="36" w16cid:durableId="237983387">
    <w:abstractNumId w:val="31"/>
  </w:num>
  <w:num w:numId="37" w16cid:durableId="1047339147">
    <w:abstractNumId w:val="33"/>
  </w:num>
  <w:num w:numId="38" w16cid:durableId="1879927711">
    <w:abstractNumId w:val="20"/>
  </w:num>
  <w:num w:numId="39" w16cid:durableId="629169364">
    <w:abstractNumId w:val="9"/>
  </w:num>
  <w:num w:numId="40" w16cid:durableId="84471178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4460"/>
    <w:rsid w:val="00030472"/>
    <w:rsid w:val="00030516"/>
    <w:rsid w:val="00091EBE"/>
    <w:rsid w:val="00092755"/>
    <w:rsid w:val="000B76B5"/>
    <w:rsid w:val="00151043"/>
    <w:rsid w:val="00153AA4"/>
    <w:rsid w:val="00165620"/>
    <w:rsid w:val="00182ACA"/>
    <w:rsid w:val="00182F6A"/>
    <w:rsid w:val="001C36D5"/>
    <w:rsid w:val="001C58CD"/>
    <w:rsid w:val="001C6C5E"/>
    <w:rsid w:val="00214167"/>
    <w:rsid w:val="00230FBB"/>
    <w:rsid w:val="0023109F"/>
    <w:rsid w:val="00231361"/>
    <w:rsid w:val="002343EE"/>
    <w:rsid w:val="002746A6"/>
    <w:rsid w:val="00275031"/>
    <w:rsid w:val="00282F6A"/>
    <w:rsid w:val="0029277B"/>
    <w:rsid w:val="002A1FCF"/>
    <w:rsid w:val="002B028F"/>
    <w:rsid w:val="002D0B69"/>
    <w:rsid w:val="002D1D7C"/>
    <w:rsid w:val="002D1EC5"/>
    <w:rsid w:val="002D2264"/>
    <w:rsid w:val="00303C70"/>
    <w:rsid w:val="0032479E"/>
    <w:rsid w:val="003312EF"/>
    <w:rsid w:val="003476AA"/>
    <w:rsid w:val="003A7F25"/>
    <w:rsid w:val="003B7462"/>
    <w:rsid w:val="003D069B"/>
    <w:rsid w:val="0042183D"/>
    <w:rsid w:val="004303F1"/>
    <w:rsid w:val="00432157"/>
    <w:rsid w:val="00441317"/>
    <w:rsid w:val="0044191B"/>
    <w:rsid w:val="00445F5D"/>
    <w:rsid w:val="00466E56"/>
    <w:rsid w:val="00471EF6"/>
    <w:rsid w:val="0047683D"/>
    <w:rsid w:val="00493A42"/>
    <w:rsid w:val="004A3C0B"/>
    <w:rsid w:val="004A5C23"/>
    <w:rsid w:val="004D3426"/>
    <w:rsid w:val="004E684F"/>
    <w:rsid w:val="004E7C46"/>
    <w:rsid w:val="00512E2B"/>
    <w:rsid w:val="005A4AE6"/>
    <w:rsid w:val="005C4460"/>
    <w:rsid w:val="005C55BD"/>
    <w:rsid w:val="005F6149"/>
    <w:rsid w:val="00607292"/>
    <w:rsid w:val="00685C46"/>
    <w:rsid w:val="006B7240"/>
    <w:rsid w:val="006E04E9"/>
    <w:rsid w:val="00707645"/>
    <w:rsid w:val="00721BF9"/>
    <w:rsid w:val="007238D5"/>
    <w:rsid w:val="0072773B"/>
    <w:rsid w:val="0074512A"/>
    <w:rsid w:val="007537B1"/>
    <w:rsid w:val="0075532D"/>
    <w:rsid w:val="00755F77"/>
    <w:rsid w:val="00760C6B"/>
    <w:rsid w:val="00787558"/>
    <w:rsid w:val="007910AA"/>
    <w:rsid w:val="00795293"/>
    <w:rsid w:val="007B3C7E"/>
    <w:rsid w:val="007E4722"/>
    <w:rsid w:val="007E7189"/>
    <w:rsid w:val="00821721"/>
    <w:rsid w:val="00837135"/>
    <w:rsid w:val="0083763F"/>
    <w:rsid w:val="00896A8A"/>
    <w:rsid w:val="008B3841"/>
    <w:rsid w:val="008C7144"/>
    <w:rsid w:val="008E13A5"/>
    <w:rsid w:val="0091280A"/>
    <w:rsid w:val="009306C6"/>
    <w:rsid w:val="009631C7"/>
    <w:rsid w:val="00974551"/>
    <w:rsid w:val="00982649"/>
    <w:rsid w:val="00996041"/>
    <w:rsid w:val="009A2186"/>
    <w:rsid w:val="009A5EA0"/>
    <w:rsid w:val="009B188C"/>
    <w:rsid w:val="009C438F"/>
    <w:rsid w:val="009E430E"/>
    <w:rsid w:val="009E66C9"/>
    <w:rsid w:val="009F533F"/>
    <w:rsid w:val="00A137B9"/>
    <w:rsid w:val="00A400D3"/>
    <w:rsid w:val="00A854A7"/>
    <w:rsid w:val="00B0749A"/>
    <w:rsid w:val="00B25B69"/>
    <w:rsid w:val="00B464A1"/>
    <w:rsid w:val="00B47442"/>
    <w:rsid w:val="00B6293F"/>
    <w:rsid w:val="00B807BD"/>
    <w:rsid w:val="00B86B3D"/>
    <w:rsid w:val="00BA67EA"/>
    <w:rsid w:val="00BC0E69"/>
    <w:rsid w:val="00BC19BA"/>
    <w:rsid w:val="00BF5ABA"/>
    <w:rsid w:val="00C01BD3"/>
    <w:rsid w:val="00C27430"/>
    <w:rsid w:val="00C310FF"/>
    <w:rsid w:val="00C4328D"/>
    <w:rsid w:val="00C567BB"/>
    <w:rsid w:val="00C803EF"/>
    <w:rsid w:val="00C87F13"/>
    <w:rsid w:val="00CC33E8"/>
    <w:rsid w:val="00CD08CF"/>
    <w:rsid w:val="00CE0A92"/>
    <w:rsid w:val="00CE25F5"/>
    <w:rsid w:val="00CE7AE4"/>
    <w:rsid w:val="00CF2060"/>
    <w:rsid w:val="00D123E9"/>
    <w:rsid w:val="00D27740"/>
    <w:rsid w:val="00D30922"/>
    <w:rsid w:val="00D33268"/>
    <w:rsid w:val="00D41E80"/>
    <w:rsid w:val="00D47C07"/>
    <w:rsid w:val="00D559DE"/>
    <w:rsid w:val="00D63FE1"/>
    <w:rsid w:val="00DE5B93"/>
    <w:rsid w:val="00E013F7"/>
    <w:rsid w:val="00E1042C"/>
    <w:rsid w:val="00E17198"/>
    <w:rsid w:val="00E1768D"/>
    <w:rsid w:val="00E233AA"/>
    <w:rsid w:val="00E42CB5"/>
    <w:rsid w:val="00E76144"/>
    <w:rsid w:val="00E769A9"/>
    <w:rsid w:val="00EB162B"/>
    <w:rsid w:val="00EB3BDB"/>
    <w:rsid w:val="00EC5DD6"/>
    <w:rsid w:val="00EF0B7F"/>
    <w:rsid w:val="00F04BB5"/>
    <w:rsid w:val="00F3331E"/>
    <w:rsid w:val="00F7568B"/>
    <w:rsid w:val="00F93473"/>
    <w:rsid w:val="00F94FD0"/>
    <w:rsid w:val="00F97A3B"/>
    <w:rsid w:val="00FA6DAC"/>
    <w:rsid w:val="00FC1CA7"/>
    <w:rsid w:val="00FD0E7A"/>
    <w:rsid w:val="00FD5D8A"/>
    <w:rsid w:val="00FF658B"/>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1BBB53"/>
  <w15:chartTrackingRefBased/>
  <w15:docId w15:val="{2B1A7EB3-94DE-4E2C-84F2-C530FE09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4460"/>
    <w:pPr>
      <w:tabs>
        <w:tab w:val="center" w:pos="4536"/>
        <w:tab w:val="right" w:pos="9072"/>
      </w:tabs>
      <w:spacing w:after="0" w:line="240" w:lineRule="auto"/>
    </w:pPr>
  </w:style>
  <w:style w:type="character" w:customStyle="1" w:styleId="HeaderChar">
    <w:name w:val="Header Char"/>
    <w:basedOn w:val="DefaultParagraphFont"/>
    <w:link w:val="Header"/>
    <w:uiPriority w:val="99"/>
    <w:rsid w:val="005C4460"/>
  </w:style>
  <w:style w:type="paragraph" w:styleId="Footer">
    <w:name w:val="footer"/>
    <w:basedOn w:val="Normal"/>
    <w:link w:val="FooterChar"/>
    <w:uiPriority w:val="99"/>
    <w:unhideWhenUsed/>
    <w:rsid w:val="005C4460"/>
    <w:pPr>
      <w:tabs>
        <w:tab w:val="center" w:pos="4536"/>
        <w:tab w:val="right" w:pos="9072"/>
      </w:tabs>
      <w:spacing w:after="0" w:line="240" w:lineRule="auto"/>
    </w:pPr>
  </w:style>
  <w:style w:type="character" w:customStyle="1" w:styleId="FooterChar">
    <w:name w:val="Footer Char"/>
    <w:basedOn w:val="DefaultParagraphFont"/>
    <w:link w:val="Footer"/>
    <w:uiPriority w:val="99"/>
    <w:rsid w:val="005C4460"/>
  </w:style>
  <w:style w:type="paragraph" w:customStyle="1" w:styleId="Default">
    <w:name w:val="Default"/>
    <w:rsid w:val="005C4460"/>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837135"/>
    <w:rPr>
      <w:color w:val="0563C1" w:themeColor="hyperlink"/>
      <w:u w:val="single"/>
    </w:rPr>
  </w:style>
  <w:style w:type="character" w:styleId="FollowedHyperlink">
    <w:name w:val="FollowedHyperlink"/>
    <w:basedOn w:val="DefaultParagraphFont"/>
    <w:uiPriority w:val="99"/>
    <w:semiHidden/>
    <w:unhideWhenUsed/>
    <w:rsid w:val="004E7C46"/>
    <w:rPr>
      <w:color w:val="954F72" w:themeColor="followedHyperlink"/>
      <w:u w:val="single"/>
    </w:rPr>
  </w:style>
  <w:style w:type="character" w:styleId="UnresolvedMention">
    <w:name w:val="Unresolved Mention"/>
    <w:basedOn w:val="DefaultParagraphFont"/>
    <w:uiPriority w:val="99"/>
    <w:semiHidden/>
    <w:unhideWhenUsed/>
    <w:rsid w:val="00B47442"/>
    <w:rPr>
      <w:color w:val="605E5C"/>
      <w:shd w:val="clear" w:color="auto" w:fill="E1DFDD"/>
    </w:rPr>
  </w:style>
  <w:style w:type="paragraph" w:styleId="NormalWeb">
    <w:name w:val="Normal (Web)"/>
    <w:basedOn w:val="Normal"/>
    <w:uiPriority w:val="99"/>
    <w:semiHidden/>
    <w:unhideWhenUsed/>
    <w:rsid w:val="0079529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186330">
      <w:bodyDiv w:val="1"/>
      <w:marLeft w:val="0"/>
      <w:marRight w:val="0"/>
      <w:marTop w:val="0"/>
      <w:marBottom w:val="0"/>
      <w:divBdr>
        <w:top w:val="none" w:sz="0" w:space="0" w:color="auto"/>
        <w:left w:val="none" w:sz="0" w:space="0" w:color="auto"/>
        <w:bottom w:val="none" w:sz="0" w:space="0" w:color="auto"/>
        <w:right w:val="none" w:sz="0" w:space="0" w:color="auto"/>
      </w:divBdr>
    </w:div>
    <w:div w:id="246154628">
      <w:bodyDiv w:val="1"/>
      <w:marLeft w:val="0"/>
      <w:marRight w:val="0"/>
      <w:marTop w:val="0"/>
      <w:marBottom w:val="0"/>
      <w:divBdr>
        <w:top w:val="none" w:sz="0" w:space="0" w:color="auto"/>
        <w:left w:val="none" w:sz="0" w:space="0" w:color="auto"/>
        <w:bottom w:val="none" w:sz="0" w:space="0" w:color="auto"/>
        <w:right w:val="none" w:sz="0" w:space="0" w:color="auto"/>
      </w:divBdr>
    </w:div>
    <w:div w:id="462191118">
      <w:bodyDiv w:val="1"/>
      <w:marLeft w:val="0"/>
      <w:marRight w:val="0"/>
      <w:marTop w:val="0"/>
      <w:marBottom w:val="0"/>
      <w:divBdr>
        <w:top w:val="none" w:sz="0" w:space="0" w:color="auto"/>
        <w:left w:val="none" w:sz="0" w:space="0" w:color="auto"/>
        <w:bottom w:val="none" w:sz="0" w:space="0" w:color="auto"/>
        <w:right w:val="none" w:sz="0" w:space="0" w:color="auto"/>
      </w:divBdr>
    </w:div>
    <w:div w:id="463349102">
      <w:bodyDiv w:val="1"/>
      <w:marLeft w:val="0"/>
      <w:marRight w:val="0"/>
      <w:marTop w:val="0"/>
      <w:marBottom w:val="0"/>
      <w:divBdr>
        <w:top w:val="none" w:sz="0" w:space="0" w:color="auto"/>
        <w:left w:val="none" w:sz="0" w:space="0" w:color="auto"/>
        <w:bottom w:val="none" w:sz="0" w:space="0" w:color="auto"/>
        <w:right w:val="none" w:sz="0" w:space="0" w:color="auto"/>
      </w:divBdr>
    </w:div>
    <w:div w:id="565264561">
      <w:bodyDiv w:val="1"/>
      <w:marLeft w:val="0"/>
      <w:marRight w:val="0"/>
      <w:marTop w:val="0"/>
      <w:marBottom w:val="0"/>
      <w:divBdr>
        <w:top w:val="none" w:sz="0" w:space="0" w:color="auto"/>
        <w:left w:val="none" w:sz="0" w:space="0" w:color="auto"/>
        <w:bottom w:val="none" w:sz="0" w:space="0" w:color="auto"/>
        <w:right w:val="none" w:sz="0" w:space="0" w:color="auto"/>
      </w:divBdr>
      <w:divsChild>
        <w:div w:id="1288702590">
          <w:marLeft w:val="0"/>
          <w:marRight w:val="0"/>
          <w:marTop w:val="0"/>
          <w:marBottom w:val="0"/>
          <w:divBdr>
            <w:top w:val="none" w:sz="0" w:space="0" w:color="auto"/>
            <w:left w:val="none" w:sz="0" w:space="0" w:color="auto"/>
            <w:bottom w:val="none" w:sz="0" w:space="0" w:color="auto"/>
            <w:right w:val="none" w:sz="0" w:space="0" w:color="auto"/>
          </w:divBdr>
          <w:divsChild>
            <w:div w:id="220210624">
              <w:marLeft w:val="0"/>
              <w:marRight w:val="0"/>
              <w:marTop w:val="0"/>
              <w:marBottom w:val="0"/>
              <w:divBdr>
                <w:top w:val="none" w:sz="0" w:space="0" w:color="auto"/>
                <w:left w:val="none" w:sz="0" w:space="0" w:color="auto"/>
                <w:bottom w:val="none" w:sz="0" w:space="0" w:color="auto"/>
                <w:right w:val="none" w:sz="0" w:space="0" w:color="auto"/>
              </w:divBdr>
            </w:div>
          </w:divsChild>
        </w:div>
        <w:div w:id="2127038822">
          <w:marLeft w:val="0"/>
          <w:marRight w:val="0"/>
          <w:marTop w:val="0"/>
          <w:marBottom w:val="0"/>
          <w:divBdr>
            <w:top w:val="none" w:sz="0" w:space="0" w:color="auto"/>
            <w:left w:val="none" w:sz="0" w:space="0" w:color="auto"/>
            <w:bottom w:val="none" w:sz="0" w:space="0" w:color="auto"/>
            <w:right w:val="none" w:sz="0" w:space="0" w:color="auto"/>
          </w:divBdr>
        </w:div>
      </w:divsChild>
    </w:div>
    <w:div w:id="729965782">
      <w:bodyDiv w:val="1"/>
      <w:marLeft w:val="0"/>
      <w:marRight w:val="0"/>
      <w:marTop w:val="0"/>
      <w:marBottom w:val="0"/>
      <w:divBdr>
        <w:top w:val="none" w:sz="0" w:space="0" w:color="auto"/>
        <w:left w:val="none" w:sz="0" w:space="0" w:color="auto"/>
        <w:bottom w:val="none" w:sz="0" w:space="0" w:color="auto"/>
        <w:right w:val="none" w:sz="0" w:space="0" w:color="auto"/>
      </w:divBdr>
    </w:div>
    <w:div w:id="744497069">
      <w:bodyDiv w:val="1"/>
      <w:marLeft w:val="0"/>
      <w:marRight w:val="0"/>
      <w:marTop w:val="0"/>
      <w:marBottom w:val="0"/>
      <w:divBdr>
        <w:top w:val="none" w:sz="0" w:space="0" w:color="auto"/>
        <w:left w:val="none" w:sz="0" w:space="0" w:color="auto"/>
        <w:bottom w:val="none" w:sz="0" w:space="0" w:color="auto"/>
        <w:right w:val="none" w:sz="0" w:space="0" w:color="auto"/>
      </w:divBdr>
    </w:div>
    <w:div w:id="1084953693">
      <w:bodyDiv w:val="1"/>
      <w:marLeft w:val="0"/>
      <w:marRight w:val="0"/>
      <w:marTop w:val="0"/>
      <w:marBottom w:val="0"/>
      <w:divBdr>
        <w:top w:val="none" w:sz="0" w:space="0" w:color="auto"/>
        <w:left w:val="none" w:sz="0" w:space="0" w:color="auto"/>
        <w:bottom w:val="none" w:sz="0" w:space="0" w:color="auto"/>
        <w:right w:val="none" w:sz="0" w:space="0" w:color="auto"/>
      </w:divBdr>
    </w:div>
    <w:div w:id="1140656223">
      <w:bodyDiv w:val="1"/>
      <w:marLeft w:val="0"/>
      <w:marRight w:val="0"/>
      <w:marTop w:val="0"/>
      <w:marBottom w:val="0"/>
      <w:divBdr>
        <w:top w:val="none" w:sz="0" w:space="0" w:color="auto"/>
        <w:left w:val="none" w:sz="0" w:space="0" w:color="auto"/>
        <w:bottom w:val="none" w:sz="0" w:space="0" w:color="auto"/>
        <w:right w:val="none" w:sz="0" w:space="0" w:color="auto"/>
      </w:divBdr>
      <w:divsChild>
        <w:div w:id="742604447">
          <w:marLeft w:val="0"/>
          <w:marRight w:val="0"/>
          <w:marTop w:val="0"/>
          <w:marBottom w:val="0"/>
          <w:divBdr>
            <w:top w:val="none" w:sz="0" w:space="0" w:color="auto"/>
            <w:left w:val="none" w:sz="0" w:space="0" w:color="auto"/>
            <w:bottom w:val="none" w:sz="0" w:space="0" w:color="auto"/>
            <w:right w:val="none" w:sz="0" w:space="0" w:color="auto"/>
          </w:divBdr>
          <w:divsChild>
            <w:div w:id="1284192711">
              <w:marLeft w:val="0"/>
              <w:marRight w:val="0"/>
              <w:marTop w:val="0"/>
              <w:marBottom w:val="0"/>
              <w:divBdr>
                <w:top w:val="none" w:sz="0" w:space="0" w:color="auto"/>
                <w:left w:val="none" w:sz="0" w:space="0" w:color="auto"/>
                <w:bottom w:val="none" w:sz="0" w:space="0" w:color="auto"/>
                <w:right w:val="none" w:sz="0" w:space="0" w:color="auto"/>
              </w:divBdr>
            </w:div>
          </w:divsChild>
        </w:div>
        <w:div w:id="50814774">
          <w:marLeft w:val="0"/>
          <w:marRight w:val="0"/>
          <w:marTop w:val="0"/>
          <w:marBottom w:val="0"/>
          <w:divBdr>
            <w:top w:val="none" w:sz="0" w:space="0" w:color="auto"/>
            <w:left w:val="none" w:sz="0" w:space="0" w:color="auto"/>
            <w:bottom w:val="none" w:sz="0" w:space="0" w:color="auto"/>
            <w:right w:val="none" w:sz="0" w:space="0" w:color="auto"/>
          </w:divBdr>
        </w:div>
      </w:divsChild>
    </w:div>
    <w:div w:id="1398360928">
      <w:bodyDiv w:val="1"/>
      <w:marLeft w:val="0"/>
      <w:marRight w:val="0"/>
      <w:marTop w:val="0"/>
      <w:marBottom w:val="0"/>
      <w:divBdr>
        <w:top w:val="none" w:sz="0" w:space="0" w:color="auto"/>
        <w:left w:val="none" w:sz="0" w:space="0" w:color="auto"/>
        <w:bottom w:val="none" w:sz="0" w:space="0" w:color="auto"/>
        <w:right w:val="none" w:sz="0" w:space="0" w:color="auto"/>
      </w:divBdr>
    </w:div>
    <w:div w:id="1496872397">
      <w:bodyDiv w:val="1"/>
      <w:marLeft w:val="0"/>
      <w:marRight w:val="0"/>
      <w:marTop w:val="0"/>
      <w:marBottom w:val="0"/>
      <w:divBdr>
        <w:top w:val="none" w:sz="0" w:space="0" w:color="auto"/>
        <w:left w:val="none" w:sz="0" w:space="0" w:color="auto"/>
        <w:bottom w:val="none" w:sz="0" w:space="0" w:color="auto"/>
        <w:right w:val="none" w:sz="0" w:space="0" w:color="auto"/>
      </w:divBdr>
    </w:div>
    <w:div w:id="1652099410">
      <w:bodyDiv w:val="1"/>
      <w:marLeft w:val="0"/>
      <w:marRight w:val="0"/>
      <w:marTop w:val="0"/>
      <w:marBottom w:val="0"/>
      <w:divBdr>
        <w:top w:val="none" w:sz="0" w:space="0" w:color="auto"/>
        <w:left w:val="none" w:sz="0" w:space="0" w:color="auto"/>
        <w:bottom w:val="none" w:sz="0" w:space="0" w:color="auto"/>
        <w:right w:val="none" w:sz="0" w:space="0" w:color="auto"/>
      </w:divBdr>
    </w:div>
    <w:div w:id="1779179305">
      <w:bodyDiv w:val="1"/>
      <w:marLeft w:val="0"/>
      <w:marRight w:val="0"/>
      <w:marTop w:val="0"/>
      <w:marBottom w:val="0"/>
      <w:divBdr>
        <w:top w:val="none" w:sz="0" w:space="0" w:color="auto"/>
        <w:left w:val="none" w:sz="0" w:space="0" w:color="auto"/>
        <w:bottom w:val="none" w:sz="0" w:space="0" w:color="auto"/>
        <w:right w:val="none" w:sz="0" w:space="0" w:color="auto"/>
      </w:divBdr>
    </w:div>
    <w:div w:id="1809593542">
      <w:bodyDiv w:val="1"/>
      <w:marLeft w:val="0"/>
      <w:marRight w:val="0"/>
      <w:marTop w:val="0"/>
      <w:marBottom w:val="0"/>
      <w:divBdr>
        <w:top w:val="none" w:sz="0" w:space="0" w:color="auto"/>
        <w:left w:val="none" w:sz="0" w:space="0" w:color="auto"/>
        <w:bottom w:val="none" w:sz="0" w:space="0" w:color="auto"/>
        <w:right w:val="none" w:sz="0" w:space="0" w:color="auto"/>
      </w:divBdr>
    </w:div>
    <w:div w:id="1963538684">
      <w:bodyDiv w:val="1"/>
      <w:marLeft w:val="0"/>
      <w:marRight w:val="0"/>
      <w:marTop w:val="0"/>
      <w:marBottom w:val="0"/>
      <w:divBdr>
        <w:top w:val="none" w:sz="0" w:space="0" w:color="auto"/>
        <w:left w:val="none" w:sz="0" w:space="0" w:color="auto"/>
        <w:bottom w:val="none" w:sz="0" w:space="0" w:color="auto"/>
        <w:right w:val="none" w:sz="0" w:space="0" w:color="auto"/>
      </w:divBdr>
    </w:div>
    <w:div w:id="1975871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8FACA2B4-0B20-4DBB-96C6-42D2EBE034F5}">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3</Pages>
  <Words>1083</Words>
  <Characters>6552</Characters>
  <Application>Microsoft Office Word</Application>
  <DocSecurity>0</DocSecurity>
  <Lines>134</Lines>
  <Paragraphs>32</Paragraphs>
  <ScaleCrop>false</ScaleCrop>
  <HeadingPairs>
    <vt:vector size="2" baseType="variant">
      <vt:variant>
        <vt:lpstr>Title</vt:lpstr>
      </vt:variant>
      <vt:variant>
        <vt:i4>1</vt:i4>
      </vt:variant>
    </vt:vector>
  </HeadingPairs>
  <TitlesOfParts>
    <vt:vector size="1" baseType="lpstr">
      <vt:lpstr/>
    </vt:vector>
  </TitlesOfParts>
  <Company>Banca Intesa AD Beograd</Company>
  <LinksUpToDate>false</LinksUpToDate>
  <CharactersWithSpaces>7609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Jelena Krsmanovic</cp:lastModifiedBy>
  <cp:revision>44</cp:revision>
  <dcterms:created xsi:type="dcterms:W3CDTF">2025-08-04T10:24:00Z</dcterms:created>
  <dcterms:modified xsi:type="dcterms:W3CDTF">2026-02-02T15:13:00Z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6dcfa84a-640e-4d7d-af39-67089ebf3c47</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y fmtid="{D5CDD505-2E9C-101B-9397-08002B2CF9AE}" pid="8" name="MSIP_Label_2062ad87-036e-491e-9fed-a81cfd22561c_Enabled">
    <vt:lpwstr>true</vt:lpwstr>
  </property>
  <property fmtid="{D5CDD505-2E9C-101B-9397-08002B2CF9AE}" pid="9" name="MSIP_Label_2062ad87-036e-491e-9fed-a81cfd22561c_SetDate">
    <vt:lpwstr>2025-08-04T10:23:59Z</vt:lpwstr>
  </property>
  <property fmtid="{D5CDD505-2E9C-101B-9397-08002B2CF9AE}" pid="10" name="MSIP_Label_2062ad87-036e-491e-9fed-a81cfd22561c_Method">
    <vt:lpwstr>Privileged</vt:lpwstr>
  </property>
  <property fmtid="{D5CDD505-2E9C-101B-9397-08002B2CF9AE}" pid="11" name="MSIP_Label_2062ad87-036e-491e-9fed-a81cfd22561c_Name">
    <vt:lpwstr>Javno-Public</vt:lpwstr>
  </property>
  <property fmtid="{D5CDD505-2E9C-101B-9397-08002B2CF9AE}" pid="12" name="MSIP_Label_2062ad87-036e-491e-9fed-a81cfd22561c_SiteId">
    <vt:lpwstr>dacc45ac-2744-490f-9a72-1b841bfcf46e</vt:lpwstr>
  </property>
  <property fmtid="{D5CDD505-2E9C-101B-9397-08002B2CF9AE}" pid="13" name="MSIP_Label_2062ad87-036e-491e-9fed-a81cfd22561c_ActionId">
    <vt:lpwstr>61a27c0f-36c1-41ee-b8fb-9789e39fbba8</vt:lpwstr>
  </property>
  <property fmtid="{D5CDD505-2E9C-101B-9397-08002B2CF9AE}" pid="14" name="MSIP_Label_2062ad87-036e-491e-9fed-a81cfd22561c_ContentBits">
    <vt:lpwstr>0</vt:lpwstr>
  </property>
  <property fmtid="{D5CDD505-2E9C-101B-9397-08002B2CF9AE}" pid="15" name="MSIP_Label_2062ad87-036e-491e-9fed-a81cfd22561c_Tag">
    <vt:lpwstr>10, 0, 1, 1</vt:lpwstr>
  </property>
</Properties>
</file>