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5ED8A" w14:textId="04569AB9" w:rsidR="00047C5E" w:rsidRDefault="00157E59" w:rsidP="00E66A03">
      <w:pPr>
        <w:jc w:val="both"/>
        <w:rPr>
          <w:rFonts w:ascii="Arial" w:hAnsi="Arial" w:cs="Arial"/>
          <w:i/>
          <w:iCs/>
          <w:sz w:val="24"/>
          <w:szCs w:val="24"/>
        </w:rPr>
      </w:pPr>
      <w:r>
        <w:rPr>
          <w:noProof/>
        </w:rPr>
        <w:drawing>
          <wp:anchor distT="0" distB="0" distL="114300" distR="114300" simplePos="0" relativeHeight="251659264" behindDoc="0" locked="0" layoutInCell="1" allowOverlap="1" wp14:anchorId="097A5818" wp14:editId="35923CA1">
            <wp:simplePos x="0" y="0"/>
            <wp:positionH relativeFrom="column">
              <wp:posOffset>0</wp:posOffset>
            </wp:positionH>
            <wp:positionV relativeFrom="paragraph">
              <wp:posOffset>0</wp:posOffset>
            </wp:positionV>
            <wp:extent cx="2564109" cy="502129"/>
            <wp:effectExtent l="0" t="0" r="0" b="0"/>
            <wp:wrapNone/>
            <wp:docPr id="167250611" name="Picture 1" descr="A green and grey text on a black background&#10;&#10;AI-generated content may be incorrect.">
              <a:extLst xmlns:a="http://schemas.openxmlformats.org/drawingml/2006/main">
                <a:ext uri="{FF2B5EF4-FFF2-40B4-BE49-F238E27FC236}">
                  <a16:creationId xmlns:a16="http://schemas.microsoft.com/office/drawing/2014/main" id="{0F5D2298-2A93-0087-DA24-26182F5BBF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250611" name="Picture 167250611" descr="A green and grey text on a black background&#10;&#10;AI-generated content may be incorrect.">
                      <a:extLst>
                        <a:ext uri="{FF2B5EF4-FFF2-40B4-BE49-F238E27FC236}">
                          <a16:creationId xmlns:a16="http://schemas.microsoft.com/office/drawing/2014/main" id="{0F5D2298-2A93-0087-DA24-26182F5BBF32}"/>
                        </a:ext>
                      </a:extLst>
                    </pic:cNvPr>
                    <pic:cNvPicPr>
                      <a:picLocks noChangeAspect="1"/>
                    </pic:cNvPicPr>
                  </pic:nvPicPr>
                  <pic:blipFill>
                    <a:blip r:embed="rId7">
                      <a:extLst>
                        <a:ext uri="{28A0092B-C50C-407E-A947-70E740481C1C}">
                          <a14:useLocalDpi xmlns:a14="http://schemas.microsoft.com/office/drawing/2010/main" val="0"/>
                        </a:ext>
                      </a:extLst>
                    </a:blip>
                    <a:stretch>
                      <a:fillRect/>
                    </a:stretch>
                  </pic:blipFill>
                  <pic:spPr>
                    <a:xfrm>
                      <a:off x="0" y="0"/>
                      <a:ext cx="2564109" cy="502129"/>
                    </a:xfrm>
                    <a:prstGeom prst="rect">
                      <a:avLst/>
                    </a:prstGeom>
                  </pic:spPr>
                </pic:pic>
              </a:graphicData>
            </a:graphic>
          </wp:anchor>
        </w:drawing>
      </w:r>
    </w:p>
    <w:p w14:paraId="05976AC2" w14:textId="77777777" w:rsidR="0056193B" w:rsidRDefault="0056193B" w:rsidP="00E66A03">
      <w:pPr>
        <w:jc w:val="both"/>
        <w:rPr>
          <w:rFonts w:ascii="Arial" w:hAnsi="Arial" w:cs="Arial"/>
          <w:i/>
          <w:iCs/>
          <w:sz w:val="24"/>
          <w:szCs w:val="24"/>
        </w:rPr>
      </w:pPr>
    </w:p>
    <w:p w14:paraId="29E3E036" w14:textId="77777777" w:rsidR="00F3550D" w:rsidRDefault="00F3550D" w:rsidP="00E66A03">
      <w:pPr>
        <w:jc w:val="both"/>
        <w:rPr>
          <w:rFonts w:ascii="Arial" w:hAnsi="Arial" w:cs="Arial"/>
          <w:sz w:val="24"/>
          <w:szCs w:val="24"/>
        </w:rPr>
      </w:pPr>
    </w:p>
    <w:p w14:paraId="38EFE6B9" w14:textId="77777777" w:rsidR="00873087" w:rsidRDefault="00873087" w:rsidP="00E66A03">
      <w:pPr>
        <w:jc w:val="both"/>
        <w:rPr>
          <w:rFonts w:ascii="Arial" w:hAnsi="Arial" w:cs="Arial"/>
          <w:sz w:val="24"/>
          <w:szCs w:val="24"/>
        </w:rPr>
      </w:pPr>
    </w:p>
    <w:p w14:paraId="6FBA68F7" w14:textId="77777777" w:rsidR="008E5229" w:rsidRDefault="008E5229" w:rsidP="008E5229">
      <w:pPr>
        <w:jc w:val="both"/>
        <w:rPr>
          <w:rFonts w:ascii="Arial" w:hAnsi="Arial" w:cs="Arial"/>
          <w:b/>
          <w:bCs/>
          <w:sz w:val="24"/>
          <w:szCs w:val="24"/>
        </w:rPr>
      </w:pPr>
      <w:r w:rsidRPr="008E5229">
        <w:rPr>
          <w:rFonts w:ascii="Arial" w:hAnsi="Arial" w:cs="Arial"/>
          <w:b/>
          <w:bCs/>
          <w:sz w:val="24"/>
          <w:szCs w:val="24"/>
        </w:rPr>
        <w:t>PRESS RELEASE</w:t>
      </w:r>
    </w:p>
    <w:p w14:paraId="25CC9B5B" w14:textId="77777777" w:rsidR="008E5229" w:rsidRDefault="008E5229" w:rsidP="008E5229">
      <w:pPr>
        <w:jc w:val="both"/>
        <w:rPr>
          <w:rFonts w:ascii="Arial" w:hAnsi="Arial" w:cs="Arial"/>
          <w:sz w:val="24"/>
          <w:szCs w:val="24"/>
        </w:rPr>
      </w:pPr>
    </w:p>
    <w:p w14:paraId="3BCA152F" w14:textId="4AA22A88" w:rsidR="0034421C" w:rsidRPr="0034421C" w:rsidRDefault="0034421C" w:rsidP="008E5229">
      <w:pPr>
        <w:jc w:val="both"/>
        <w:rPr>
          <w:rFonts w:ascii="Arial" w:hAnsi="Arial" w:cs="Arial"/>
          <w:i/>
          <w:iCs/>
          <w:sz w:val="24"/>
          <w:szCs w:val="24"/>
        </w:rPr>
      </w:pPr>
      <w:r w:rsidRPr="0034421C">
        <w:rPr>
          <w:rFonts w:ascii="Arial" w:hAnsi="Arial" w:cs="Arial"/>
          <w:i/>
          <w:iCs/>
          <w:sz w:val="24"/>
          <w:szCs w:val="24"/>
        </w:rPr>
        <w:t xml:space="preserve">Low cost and efficient </w:t>
      </w:r>
      <w:r>
        <w:rPr>
          <w:rFonts w:ascii="Arial" w:hAnsi="Arial" w:cs="Arial"/>
          <w:i/>
          <w:iCs/>
          <w:sz w:val="24"/>
          <w:szCs w:val="24"/>
        </w:rPr>
        <w:t xml:space="preserve">execution of </w:t>
      </w:r>
      <w:r w:rsidRPr="0034421C">
        <w:rPr>
          <w:rFonts w:ascii="Arial" w:hAnsi="Arial" w:cs="Arial"/>
          <w:i/>
          <w:iCs/>
          <w:sz w:val="24"/>
          <w:szCs w:val="24"/>
        </w:rPr>
        <w:t>payment</w:t>
      </w:r>
      <w:r>
        <w:rPr>
          <w:rFonts w:ascii="Arial" w:hAnsi="Arial" w:cs="Arial"/>
          <w:i/>
          <w:iCs/>
          <w:sz w:val="24"/>
          <w:szCs w:val="24"/>
        </w:rPr>
        <w:t>s</w:t>
      </w:r>
    </w:p>
    <w:p w14:paraId="5D59B4A1" w14:textId="493A31CE" w:rsidR="008E5229" w:rsidRDefault="008E5229" w:rsidP="008E5229">
      <w:pPr>
        <w:jc w:val="center"/>
        <w:rPr>
          <w:rFonts w:ascii="Arial" w:hAnsi="Arial" w:cs="Arial"/>
          <w:b/>
          <w:bCs/>
          <w:sz w:val="24"/>
          <w:szCs w:val="24"/>
        </w:rPr>
      </w:pPr>
      <w:r w:rsidRPr="008E5229">
        <w:rPr>
          <w:rFonts w:ascii="Arial" w:hAnsi="Arial" w:cs="Arial"/>
          <w:b/>
          <w:bCs/>
          <w:sz w:val="24"/>
          <w:szCs w:val="24"/>
        </w:rPr>
        <w:t xml:space="preserve">Banca Intesa </w:t>
      </w:r>
      <w:r w:rsidR="0034421C">
        <w:rPr>
          <w:rFonts w:ascii="Arial" w:hAnsi="Arial" w:cs="Arial"/>
          <w:b/>
          <w:bCs/>
          <w:sz w:val="24"/>
          <w:szCs w:val="24"/>
        </w:rPr>
        <w:t xml:space="preserve">completes first </w:t>
      </w:r>
      <w:r w:rsidRPr="008E5229">
        <w:rPr>
          <w:rFonts w:ascii="Arial" w:hAnsi="Arial" w:cs="Arial"/>
          <w:b/>
          <w:bCs/>
          <w:sz w:val="24"/>
          <w:szCs w:val="24"/>
        </w:rPr>
        <w:t xml:space="preserve">SEPA </w:t>
      </w:r>
      <w:r w:rsidR="0034421C">
        <w:rPr>
          <w:rFonts w:ascii="Arial" w:hAnsi="Arial" w:cs="Arial"/>
          <w:b/>
          <w:bCs/>
          <w:sz w:val="24"/>
          <w:szCs w:val="24"/>
        </w:rPr>
        <w:t>transactions</w:t>
      </w:r>
    </w:p>
    <w:p w14:paraId="7EAB27D5" w14:textId="77777777" w:rsidR="008E5229" w:rsidRPr="008E5229" w:rsidRDefault="008E5229" w:rsidP="008E5229">
      <w:pPr>
        <w:jc w:val="both"/>
        <w:rPr>
          <w:rFonts w:ascii="Arial" w:hAnsi="Arial" w:cs="Arial"/>
          <w:sz w:val="24"/>
          <w:szCs w:val="24"/>
        </w:rPr>
      </w:pPr>
    </w:p>
    <w:p w14:paraId="557369B7" w14:textId="4AA914A3" w:rsidR="008E5229" w:rsidRPr="008E5229" w:rsidRDefault="008E5229" w:rsidP="008E5229">
      <w:pPr>
        <w:jc w:val="both"/>
        <w:rPr>
          <w:rFonts w:ascii="Arial" w:hAnsi="Arial" w:cs="Arial"/>
          <w:sz w:val="24"/>
          <w:szCs w:val="24"/>
        </w:rPr>
      </w:pPr>
      <w:r w:rsidRPr="008E5229">
        <w:rPr>
          <w:rFonts w:ascii="Arial" w:hAnsi="Arial" w:cs="Arial"/>
          <w:b/>
          <w:bCs/>
          <w:sz w:val="24"/>
          <w:szCs w:val="24"/>
        </w:rPr>
        <w:t xml:space="preserve">Belgrade, May </w:t>
      </w:r>
      <w:r w:rsidR="00737A4C">
        <w:rPr>
          <w:rFonts w:ascii="Arial" w:hAnsi="Arial" w:cs="Arial"/>
          <w:b/>
          <w:bCs/>
          <w:sz w:val="24"/>
          <w:szCs w:val="24"/>
        </w:rPr>
        <w:t xml:space="preserve">6, </w:t>
      </w:r>
      <w:r w:rsidRPr="008E5229">
        <w:rPr>
          <w:rFonts w:ascii="Arial" w:hAnsi="Arial" w:cs="Arial"/>
          <w:b/>
          <w:bCs/>
          <w:sz w:val="24"/>
          <w:szCs w:val="24"/>
        </w:rPr>
        <w:t>2026</w:t>
      </w:r>
      <w:r w:rsidRPr="008E5229">
        <w:rPr>
          <w:rFonts w:ascii="Arial" w:hAnsi="Arial" w:cs="Arial"/>
          <w:sz w:val="24"/>
          <w:szCs w:val="24"/>
        </w:rPr>
        <w:t xml:space="preserve"> – Banca Intesa, a member of the international banking group Intesa Sanpaolo, has successfully launched the execution of payments and incoming transfers within the SEPA payment system, enabling individuals and businesses to make faster and more cost-efficient euro transactions to and from more than 40 countries within the SEPA area.</w:t>
      </w:r>
    </w:p>
    <w:p w14:paraId="47AB7A88" w14:textId="1108BB61" w:rsidR="008E5229" w:rsidRPr="008E5229" w:rsidRDefault="008E5229" w:rsidP="008E5229">
      <w:pPr>
        <w:jc w:val="both"/>
        <w:rPr>
          <w:rFonts w:ascii="Arial" w:hAnsi="Arial" w:cs="Arial"/>
          <w:sz w:val="24"/>
          <w:szCs w:val="24"/>
        </w:rPr>
      </w:pPr>
      <w:r w:rsidRPr="008E5229">
        <w:rPr>
          <w:rFonts w:ascii="Arial" w:hAnsi="Arial" w:cs="Arial"/>
          <w:sz w:val="24"/>
          <w:szCs w:val="24"/>
        </w:rPr>
        <w:t xml:space="preserve">On the very first day of SEPA implementation, Banca Intesa </w:t>
      </w:r>
      <w:r w:rsidR="005A541E">
        <w:rPr>
          <w:rFonts w:ascii="Arial" w:hAnsi="Arial" w:cs="Arial"/>
          <w:sz w:val="24"/>
          <w:szCs w:val="24"/>
        </w:rPr>
        <w:t>completed over 700 transactions</w:t>
      </w:r>
      <w:r w:rsidRPr="008E5229">
        <w:rPr>
          <w:rFonts w:ascii="Arial" w:hAnsi="Arial" w:cs="Arial"/>
          <w:sz w:val="24"/>
          <w:szCs w:val="24"/>
        </w:rPr>
        <w:t>, confirming its readiness to provide clients with a stable and reliable service immediately upon the launch of the new international payment model.</w:t>
      </w:r>
    </w:p>
    <w:p w14:paraId="18888036" w14:textId="77777777" w:rsidR="008E5229" w:rsidRPr="008E5229" w:rsidRDefault="008E5229" w:rsidP="008E5229">
      <w:pPr>
        <w:jc w:val="both"/>
        <w:rPr>
          <w:rFonts w:ascii="Arial" w:hAnsi="Arial" w:cs="Arial"/>
          <w:sz w:val="24"/>
          <w:szCs w:val="24"/>
        </w:rPr>
      </w:pPr>
      <w:r w:rsidRPr="008E5229">
        <w:rPr>
          <w:rFonts w:ascii="Arial" w:hAnsi="Arial" w:cs="Arial"/>
          <w:sz w:val="24"/>
          <w:szCs w:val="24"/>
        </w:rPr>
        <w:t>With the introduction of SEPA payments, Banca Intesa clients achieve savings of up to 80% compared to standard international foreign-currency transfers, along with a higher level of transparency, predictable costs, and greater efficiency in transaction execution.</w:t>
      </w:r>
    </w:p>
    <w:p w14:paraId="47AB5210" w14:textId="77777777" w:rsidR="008E5229" w:rsidRPr="008E5229" w:rsidRDefault="008E5229" w:rsidP="008E5229">
      <w:pPr>
        <w:jc w:val="both"/>
        <w:rPr>
          <w:rFonts w:ascii="Arial" w:hAnsi="Arial" w:cs="Arial"/>
          <w:sz w:val="24"/>
          <w:szCs w:val="24"/>
        </w:rPr>
      </w:pPr>
      <w:r w:rsidRPr="008E5229">
        <w:rPr>
          <w:rFonts w:ascii="Arial" w:hAnsi="Arial" w:cs="Arial"/>
          <w:sz w:val="24"/>
          <w:szCs w:val="24"/>
        </w:rPr>
        <w:t>Thanks to one of the most competitive fees, Banca Intesa is positioning itself among the most competitive banks in the domestic market in the area of international euro payments via the SEPA system, reaffirming its commitment to improving payment services and applying modern European standards in the interest of its clients.</w:t>
      </w:r>
    </w:p>
    <w:p w14:paraId="1277FD5E" w14:textId="6E437472" w:rsidR="008E5229" w:rsidRDefault="008E5229" w:rsidP="008E5229">
      <w:pPr>
        <w:jc w:val="both"/>
        <w:rPr>
          <w:rFonts w:ascii="Arial" w:hAnsi="Arial" w:cs="Arial"/>
          <w:sz w:val="24"/>
          <w:szCs w:val="24"/>
        </w:rPr>
      </w:pPr>
      <w:r w:rsidRPr="008E5229">
        <w:rPr>
          <w:rFonts w:ascii="Arial" w:hAnsi="Arial" w:cs="Arial"/>
          <w:sz w:val="24"/>
          <w:szCs w:val="24"/>
        </w:rPr>
        <w:t>Joining the SEPA payment area</w:t>
      </w:r>
      <w:r>
        <w:rPr>
          <w:rFonts w:ascii="Arial" w:hAnsi="Arial" w:cs="Arial"/>
          <w:sz w:val="24"/>
          <w:szCs w:val="24"/>
        </w:rPr>
        <w:t xml:space="preserve">, </w:t>
      </w:r>
      <w:r w:rsidRPr="008E5229">
        <w:rPr>
          <w:rFonts w:ascii="Arial" w:hAnsi="Arial" w:cs="Arial"/>
          <w:sz w:val="24"/>
          <w:szCs w:val="24"/>
        </w:rPr>
        <w:t>which includes the countries of the European Union, the European Economic Area, the United Kingdom, Switzerland, as well as several countries in the region</w:t>
      </w:r>
      <w:r>
        <w:rPr>
          <w:rFonts w:ascii="Arial" w:hAnsi="Arial" w:cs="Arial"/>
          <w:sz w:val="24"/>
          <w:szCs w:val="24"/>
        </w:rPr>
        <w:t xml:space="preserve">, </w:t>
      </w:r>
      <w:r w:rsidRPr="008E5229">
        <w:rPr>
          <w:rFonts w:ascii="Arial" w:hAnsi="Arial" w:cs="Arial"/>
          <w:sz w:val="24"/>
          <w:szCs w:val="24"/>
        </w:rPr>
        <w:t xml:space="preserve">represents an important step in </w:t>
      </w:r>
      <w:r w:rsidR="00737A4C">
        <w:rPr>
          <w:rFonts w:ascii="Arial" w:hAnsi="Arial" w:cs="Arial"/>
          <w:sz w:val="24"/>
          <w:szCs w:val="24"/>
        </w:rPr>
        <w:t xml:space="preserve">the </w:t>
      </w:r>
      <w:r w:rsidRPr="008E5229">
        <w:rPr>
          <w:rFonts w:ascii="Arial" w:hAnsi="Arial" w:cs="Arial"/>
          <w:sz w:val="24"/>
          <w:szCs w:val="24"/>
        </w:rPr>
        <w:t>further moderniz</w:t>
      </w:r>
      <w:r w:rsidR="00737A4C">
        <w:rPr>
          <w:rFonts w:ascii="Arial" w:hAnsi="Arial" w:cs="Arial"/>
          <w:sz w:val="24"/>
          <w:szCs w:val="24"/>
        </w:rPr>
        <w:t>ation of</w:t>
      </w:r>
      <w:r w:rsidRPr="008E5229">
        <w:rPr>
          <w:rFonts w:ascii="Arial" w:hAnsi="Arial" w:cs="Arial"/>
          <w:sz w:val="24"/>
          <w:szCs w:val="24"/>
        </w:rPr>
        <w:t xml:space="preserve"> payment services and aligning the domestic financial system with European </w:t>
      </w:r>
      <w:r w:rsidR="00737A4C">
        <w:rPr>
          <w:rFonts w:ascii="Arial" w:hAnsi="Arial" w:cs="Arial"/>
          <w:sz w:val="24"/>
          <w:szCs w:val="24"/>
        </w:rPr>
        <w:t>practices</w:t>
      </w:r>
      <w:r w:rsidRPr="008E5229">
        <w:rPr>
          <w:rFonts w:ascii="Arial" w:hAnsi="Arial" w:cs="Arial"/>
          <w:sz w:val="24"/>
          <w:szCs w:val="24"/>
        </w:rPr>
        <w:t>.</w:t>
      </w:r>
    </w:p>
    <w:p w14:paraId="3314E358" w14:textId="77777777" w:rsidR="008E5229" w:rsidRPr="008E5229" w:rsidRDefault="008E5229" w:rsidP="008E5229">
      <w:pPr>
        <w:jc w:val="both"/>
        <w:rPr>
          <w:rFonts w:ascii="Arial" w:hAnsi="Arial" w:cs="Arial"/>
          <w:sz w:val="24"/>
          <w:szCs w:val="24"/>
        </w:rPr>
      </w:pPr>
    </w:p>
    <w:p w14:paraId="2C279BC0" w14:textId="3C776272" w:rsidR="00232344" w:rsidRPr="00873087" w:rsidRDefault="008E5229" w:rsidP="008E5229">
      <w:pPr>
        <w:jc w:val="both"/>
        <w:rPr>
          <w:rFonts w:ascii="Arial" w:hAnsi="Arial" w:cs="Arial"/>
          <w:i/>
          <w:iCs/>
          <w:sz w:val="20"/>
          <w:szCs w:val="20"/>
        </w:rPr>
      </w:pPr>
      <w:r w:rsidRPr="008E5229">
        <w:rPr>
          <w:rFonts w:ascii="Arial" w:hAnsi="Arial" w:cs="Arial"/>
          <w:b/>
          <w:bCs/>
          <w:i/>
          <w:iCs/>
          <w:sz w:val="20"/>
          <w:szCs w:val="20"/>
        </w:rPr>
        <w:t>Banca Intesa a.d. Belgrade</w:t>
      </w:r>
      <w:r w:rsidRPr="008E5229">
        <w:rPr>
          <w:rFonts w:ascii="Arial" w:hAnsi="Arial" w:cs="Arial"/>
          <w:i/>
          <w:iCs/>
          <w:sz w:val="20"/>
          <w:szCs w:val="20"/>
        </w:rPr>
        <w:t>, a member of the international banking group Intesa Sanpaolo, has held a leading position in the Serbian market for 18 years. Thanks to a unique combination of physical and digital presence, a comprehensive offer of modern financial solutions, a superior customer experience and top-level service, the bank serves 1.4 million clients across the retail and corporate segments. In addition to clients’ trust, Banca Intesa’s business success has been recognized by numerous awards for Best Bank in Serbia from reputable financial magazines such as The Banker, Euromoney, and Global Finance. Acknowledging its role in supporting the green transition and promoting inclusive growth, Banca Intesa integrates ESG principles into its business processes, policies, and products, contributing to addressing social and environmental challenges while strengthening the sustainability and resilience of its own business model.</w:t>
      </w:r>
    </w:p>
    <w:sectPr w:rsidR="00232344" w:rsidRPr="0087308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507B43" w14:textId="77777777" w:rsidR="00BC2823" w:rsidRDefault="00BC2823" w:rsidP="00E66A03">
      <w:pPr>
        <w:spacing w:after="0" w:line="240" w:lineRule="auto"/>
      </w:pPr>
      <w:r>
        <w:separator/>
      </w:r>
    </w:p>
  </w:endnote>
  <w:endnote w:type="continuationSeparator" w:id="0">
    <w:p w14:paraId="6359B5A3" w14:textId="77777777" w:rsidR="00BC2823" w:rsidRDefault="00BC2823" w:rsidP="00E66A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MT">
    <w:altName w:val="Arial"/>
    <w:charset w:val="00"/>
    <w:family w:val="swiss"/>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8F78EC" w14:textId="77777777" w:rsidR="00BC2823" w:rsidRDefault="00BC2823" w:rsidP="00E66A03">
      <w:pPr>
        <w:spacing w:after="0" w:line="240" w:lineRule="auto"/>
      </w:pPr>
      <w:r>
        <w:separator/>
      </w:r>
    </w:p>
  </w:footnote>
  <w:footnote w:type="continuationSeparator" w:id="0">
    <w:p w14:paraId="23823779" w14:textId="77777777" w:rsidR="00BC2823" w:rsidRDefault="00BC2823" w:rsidP="00E66A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6A03"/>
    <w:rsid w:val="00001236"/>
    <w:rsid w:val="00030516"/>
    <w:rsid w:val="00047C5E"/>
    <w:rsid w:val="00060916"/>
    <w:rsid w:val="00067A2D"/>
    <w:rsid w:val="00084667"/>
    <w:rsid w:val="00102E58"/>
    <w:rsid w:val="00157E59"/>
    <w:rsid w:val="00191166"/>
    <w:rsid w:val="001B31C2"/>
    <w:rsid w:val="001D07C1"/>
    <w:rsid w:val="0023191E"/>
    <w:rsid w:val="00232344"/>
    <w:rsid w:val="0028684E"/>
    <w:rsid w:val="002A21EF"/>
    <w:rsid w:val="0034421C"/>
    <w:rsid w:val="003526DA"/>
    <w:rsid w:val="003633E5"/>
    <w:rsid w:val="00371101"/>
    <w:rsid w:val="0037220F"/>
    <w:rsid w:val="0038417D"/>
    <w:rsid w:val="003D1F42"/>
    <w:rsid w:val="003E5B99"/>
    <w:rsid w:val="003F077D"/>
    <w:rsid w:val="003F46D1"/>
    <w:rsid w:val="004139BC"/>
    <w:rsid w:val="004F2DAB"/>
    <w:rsid w:val="004F7CF4"/>
    <w:rsid w:val="00522988"/>
    <w:rsid w:val="00555C30"/>
    <w:rsid w:val="0056193B"/>
    <w:rsid w:val="005A171B"/>
    <w:rsid w:val="005A541E"/>
    <w:rsid w:val="005D6C00"/>
    <w:rsid w:val="00601FD5"/>
    <w:rsid w:val="006D4EA0"/>
    <w:rsid w:val="006F3CF6"/>
    <w:rsid w:val="00737A4C"/>
    <w:rsid w:val="00771AF2"/>
    <w:rsid w:val="007910AA"/>
    <w:rsid w:val="00873087"/>
    <w:rsid w:val="008908D5"/>
    <w:rsid w:val="008E5229"/>
    <w:rsid w:val="00942F3C"/>
    <w:rsid w:val="00944BBB"/>
    <w:rsid w:val="00976596"/>
    <w:rsid w:val="009C538B"/>
    <w:rsid w:val="009C5EB8"/>
    <w:rsid w:val="009D0399"/>
    <w:rsid w:val="00A54D0B"/>
    <w:rsid w:val="00A66BDA"/>
    <w:rsid w:val="00AC6A9A"/>
    <w:rsid w:val="00B31072"/>
    <w:rsid w:val="00B456D6"/>
    <w:rsid w:val="00B925D6"/>
    <w:rsid w:val="00BC2823"/>
    <w:rsid w:val="00C42306"/>
    <w:rsid w:val="00C83151"/>
    <w:rsid w:val="00CD7028"/>
    <w:rsid w:val="00D06886"/>
    <w:rsid w:val="00D76D9A"/>
    <w:rsid w:val="00D9125A"/>
    <w:rsid w:val="00DB0233"/>
    <w:rsid w:val="00DD1625"/>
    <w:rsid w:val="00DE0188"/>
    <w:rsid w:val="00DE2528"/>
    <w:rsid w:val="00E24FB8"/>
    <w:rsid w:val="00E54241"/>
    <w:rsid w:val="00E54CD3"/>
    <w:rsid w:val="00E66A03"/>
    <w:rsid w:val="00E830DA"/>
    <w:rsid w:val="00F3550D"/>
    <w:rsid w:val="00F430BB"/>
    <w:rsid w:val="00FA6AC3"/>
    <w:rsid w:val="00FC4B8B"/>
    <w:rsid w:val="00FE2D7A"/>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E22AB"/>
  <w15:chartTrackingRefBased/>
  <w15:docId w15:val="{C46C00B6-1413-4757-B325-26AB196D6B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66A0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66A03"/>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E66A0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E66A03"/>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E66A03"/>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E66A0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66A0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66A0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66A0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6A03"/>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66A03"/>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66A03"/>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E66A03"/>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E66A03"/>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E66A0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66A0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66A0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66A03"/>
    <w:rPr>
      <w:rFonts w:eastAsiaTheme="majorEastAsia" w:cstheme="majorBidi"/>
      <w:color w:val="272727" w:themeColor="text1" w:themeTint="D8"/>
    </w:rPr>
  </w:style>
  <w:style w:type="paragraph" w:styleId="Title">
    <w:name w:val="Title"/>
    <w:basedOn w:val="Normal"/>
    <w:next w:val="Normal"/>
    <w:link w:val="TitleChar"/>
    <w:uiPriority w:val="10"/>
    <w:qFormat/>
    <w:rsid w:val="00E66A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66A0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66A0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66A0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66A03"/>
    <w:pPr>
      <w:spacing w:before="160"/>
      <w:jc w:val="center"/>
    </w:pPr>
    <w:rPr>
      <w:i/>
      <w:iCs/>
      <w:color w:val="404040" w:themeColor="text1" w:themeTint="BF"/>
    </w:rPr>
  </w:style>
  <w:style w:type="character" w:customStyle="1" w:styleId="QuoteChar">
    <w:name w:val="Quote Char"/>
    <w:basedOn w:val="DefaultParagraphFont"/>
    <w:link w:val="Quote"/>
    <w:uiPriority w:val="29"/>
    <w:rsid w:val="00E66A03"/>
    <w:rPr>
      <w:i/>
      <w:iCs/>
      <w:color w:val="404040" w:themeColor="text1" w:themeTint="BF"/>
    </w:rPr>
  </w:style>
  <w:style w:type="paragraph" w:styleId="ListParagraph">
    <w:name w:val="List Paragraph"/>
    <w:basedOn w:val="Normal"/>
    <w:uiPriority w:val="34"/>
    <w:qFormat/>
    <w:rsid w:val="00E66A03"/>
    <w:pPr>
      <w:ind w:left="720"/>
      <w:contextualSpacing/>
    </w:pPr>
  </w:style>
  <w:style w:type="character" w:styleId="IntenseEmphasis">
    <w:name w:val="Intense Emphasis"/>
    <w:basedOn w:val="DefaultParagraphFont"/>
    <w:uiPriority w:val="21"/>
    <w:qFormat/>
    <w:rsid w:val="00E66A03"/>
    <w:rPr>
      <w:i/>
      <w:iCs/>
      <w:color w:val="2E74B5" w:themeColor="accent1" w:themeShade="BF"/>
    </w:rPr>
  </w:style>
  <w:style w:type="paragraph" w:styleId="IntenseQuote">
    <w:name w:val="Intense Quote"/>
    <w:basedOn w:val="Normal"/>
    <w:next w:val="Normal"/>
    <w:link w:val="IntenseQuoteChar"/>
    <w:uiPriority w:val="30"/>
    <w:qFormat/>
    <w:rsid w:val="00E66A03"/>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E66A03"/>
    <w:rPr>
      <w:i/>
      <w:iCs/>
      <w:color w:val="2E74B5" w:themeColor="accent1" w:themeShade="BF"/>
    </w:rPr>
  </w:style>
  <w:style w:type="character" w:styleId="IntenseReference">
    <w:name w:val="Intense Reference"/>
    <w:basedOn w:val="DefaultParagraphFont"/>
    <w:uiPriority w:val="32"/>
    <w:qFormat/>
    <w:rsid w:val="00E66A03"/>
    <w:rPr>
      <w:b/>
      <w:bCs/>
      <w:smallCaps/>
      <w:color w:val="2E74B5" w:themeColor="accent1" w:themeShade="BF"/>
      <w:spacing w:val="5"/>
    </w:rPr>
  </w:style>
  <w:style w:type="paragraph" w:styleId="Header">
    <w:name w:val="header"/>
    <w:basedOn w:val="Normal"/>
    <w:link w:val="HeaderChar"/>
    <w:uiPriority w:val="99"/>
    <w:unhideWhenUsed/>
    <w:rsid w:val="00E66A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E66A03"/>
  </w:style>
  <w:style w:type="paragraph" w:styleId="Footer">
    <w:name w:val="footer"/>
    <w:basedOn w:val="Normal"/>
    <w:link w:val="FooterChar"/>
    <w:uiPriority w:val="99"/>
    <w:unhideWhenUsed/>
    <w:rsid w:val="00E66A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E66A03"/>
  </w:style>
  <w:style w:type="paragraph" w:styleId="BodyText">
    <w:name w:val="Body Text"/>
    <w:basedOn w:val="Normal"/>
    <w:link w:val="BodyTextChar"/>
    <w:uiPriority w:val="1"/>
    <w:qFormat/>
    <w:rsid w:val="00E66A03"/>
    <w:pPr>
      <w:widowControl w:val="0"/>
      <w:autoSpaceDE w:val="0"/>
      <w:autoSpaceDN w:val="0"/>
      <w:spacing w:after="0" w:line="240" w:lineRule="auto"/>
    </w:pPr>
    <w:rPr>
      <w:rFonts w:ascii="Arial MT" w:eastAsia="Arial MT" w:hAnsi="Arial MT" w:cs="Arial MT"/>
      <w:lang w:val="bs"/>
    </w:rPr>
  </w:style>
  <w:style w:type="character" w:customStyle="1" w:styleId="BodyTextChar">
    <w:name w:val="Body Text Char"/>
    <w:basedOn w:val="DefaultParagraphFont"/>
    <w:link w:val="BodyText"/>
    <w:uiPriority w:val="1"/>
    <w:rsid w:val="00E66A03"/>
    <w:rPr>
      <w:rFonts w:ascii="Arial MT" w:eastAsia="Arial MT" w:hAnsi="Arial MT" w:cs="Arial MT"/>
      <w:lang w:val="bs"/>
    </w:rPr>
  </w:style>
  <w:style w:type="paragraph" w:customStyle="1" w:styleId="Default">
    <w:name w:val="Default"/>
    <w:rsid w:val="00157E59"/>
    <w:pPr>
      <w:autoSpaceDE w:val="0"/>
      <w:autoSpaceDN w:val="0"/>
      <w:adjustRightInd w:val="0"/>
      <w:spacing w:after="0" w:line="240" w:lineRule="auto"/>
    </w:pPr>
    <w:rPr>
      <w:rFonts w:ascii="Times New Roman" w:hAnsi="Times New Roman" w:cs="Times New Roman"/>
      <w:color w:val="000000"/>
      <w:sz w:val="24"/>
      <w:szCs w:val="24"/>
    </w:rPr>
  </w:style>
  <w:style w:type="paragraph" w:styleId="HTMLPreformatted">
    <w:name w:val="HTML Preformatted"/>
    <w:basedOn w:val="Normal"/>
    <w:link w:val="HTMLPreformattedChar"/>
    <w:uiPriority w:val="99"/>
    <w:unhideWhenUsed/>
    <w:rsid w:val="00232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r-Latn-RS"/>
    </w:rPr>
  </w:style>
  <w:style w:type="character" w:customStyle="1" w:styleId="HTMLPreformattedChar">
    <w:name w:val="HTML Preformatted Char"/>
    <w:basedOn w:val="DefaultParagraphFont"/>
    <w:link w:val="HTMLPreformatted"/>
    <w:uiPriority w:val="99"/>
    <w:rsid w:val="00232344"/>
    <w:rPr>
      <w:rFonts w:ascii="Courier New" w:eastAsia="Times New Roman" w:hAnsi="Courier New" w:cs="Courier New"/>
      <w:sz w:val="20"/>
      <w:szCs w:val="20"/>
      <w:lang w:eastAsia="sr-Latn-R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19C913FA-D485-4C97-81BA-D4EBF032EADC}">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Pages>
  <Words>338</Words>
  <Characters>2237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2564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Jelena Krsmanovic</cp:lastModifiedBy>
  <cp:revision>12</cp:revision>
  <dcterms:created xsi:type="dcterms:W3CDTF">2026-04-30T13:39:00Z</dcterms:created>
  <dcterms:modified xsi:type="dcterms:W3CDTF">2026-05-06T06:43:00Z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fdf0e93e-e42e-44aa-bb9e-8911c35c2b8e</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y fmtid="{D5CDD505-2E9C-101B-9397-08002B2CF9AE}" pid="8" name="MSIP_Label_2062ad87-036e-491e-9fed-a81cfd22561c_Enabled">
    <vt:lpwstr>true</vt:lpwstr>
  </property>
  <property fmtid="{D5CDD505-2E9C-101B-9397-08002B2CF9AE}" pid="9" name="MSIP_Label_2062ad87-036e-491e-9fed-a81cfd22561c_SetDate">
    <vt:lpwstr>2026-03-17T08:55:52Z</vt:lpwstr>
  </property>
  <property fmtid="{D5CDD505-2E9C-101B-9397-08002B2CF9AE}" pid="10" name="MSIP_Label_2062ad87-036e-491e-9fed-a81cfd22561c_Method">
    <vt:lpwstr>Privileged</vt:lpwstr>
  </property>
  <property fmtid="{D5CDD505-2E9C-101B-9397-08002B2CF9AE}" pid="11" name="MSIP_Label_2062ad87-036e-491e-9fed-a81cfd22561c_Name">
    <vt:lpwstr>Javno-Public</vt:lpwstr>
  </property>
  <property fmtid="{D5CDD505-2E9C-101B-9397-08002B2CF9AE}" pid="12" name="MSIP_Label_2062ad87-036e-491e-9fed-a81cfd22561c_SiteId">
    <vt:lpwstr>dacc45ac-2744-490f-9a72-1b841bfcf46e</vt:lpwstr>
  </property>
  <property fmtid="{D5CDD505-2E9C-101B-9397-08002B2CF9AE}" pid="13" name="MSIP_Label_2062ad87-036e-491e-9fed-a81cfd22561c_ActionId">
    <vt:lpwstr>2bba1c5e-91e8-46dc-b4a7-9e6f927df9bf</vt:lpwstr>
  </property>
  <property fmtid="{D5CDD505-2E9C-101B-9397-08002B2CF9AE}" pid="14" name="MSIP_Label_2062ad87-036e-491e-9fed-a81cfd22561c_ContentBits">
    <vt:lpwstr>0</vt:lpwstr>
  </property>
  <property fmtid="{D5CDD505-2E9C-101B-9397-08002B2CF9AE}" pid="15" name="MSIP_Label_2062ad87-036e-491e-9fed-a81cfd22561c_Tag">
    <vt:lpwstr>10, 0, 1, 1</vt:lpwstr>
  </property>
</Properties>
</file>