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74536" w14:textId="32E182C6" w:rsidR="00C313CA" w:rsidRPr="00481488" w:rsidRDefault="00481488" w:rsidP="00481488">
      <w:pPr>
        <w:shd w:val="clear" w:color="auto" w:fill="FFFFFF"/>
        <w:rPr>
          <w:rFonts w:ascii="Arial" w:hAnsi="Arial" w:cs="Arial"/>
          <w:i/>
          <w:iCs/>
          <w:color w:val="000000"/>
          <w:sz w:val="24"/>
          <w:szCs w:val="24"/>
        </w:rPr>
      </w:pPr>
      <w:r w:rsidRPr="00481488">
        <w:rPr>
          <w:rFonts w:ascii="Arial" w:hAnsi="Arial" w:cs="Arial"/>
          <w:i/>
          <w:iCs/>
          <w:color w:val="000000"/>
          <w:sz w:val="24"/>
          <w:szCs w:val="24"/>
        </w:rPr>
        <w:t>PRESS RELEASE</w:t>
      </w:r>
    </w:p>
    <w:p w14:paraId="3616493E" w14:textId="77777777" w:rsidR="00481488" w:rsidRPr="00481488" w:rsidRDefault="00481488" w:rsidP="00481488">
      <w:pPr>
        <w:shd w:val="clear" w:color="auto" w:fill="FFFFFF"/>
        <w:rPr>
          <w:rFonts w:ascii="Arial" w:hAnsi="Arial" w:cs="Arial"/>
          <w:i/>
          <w:iCs/>
          <w:color w:val="000000"/>
          <w:sz w:val="24"/>
          <w:szCs w:val="24"/>
        </w:rPr>
      </w:pPr>
    </w:p>
    <w:p w14:paraId="0235C50E" w14:textId="1FA4F5AE" w:rsidR="004B51A9" w:rsidRPr="00481488" w:rsidRDefault="004B51A9" w:rsidP="004B51A9">
      <w:pPr>
        <w:spacing w:after="0"/>
        <w:jc w:val="center"/>
        <w:rPr>
          <w:rFonts w:ascii="Arial" w:eastAsia="Cambria" w:hAnsi="Arial" w:cs="Arial"/>
          <w:b/>
          <w:bCs/>
          <w:kern w:val="0"/>
          <w:sz w:val="24"/>
          <w:szCs w:val="24"/>
          <w:shd w:val="clear" w:color="auto" w:fill="FFFFFF"/>
          <w:lang w:val="en-US"/>
          <w14:ligatures w14:val="none"/>
        </w:rPr>
      </w:pPr>
      <w:r w:rsidRPr="00481488">
        <w:rPr>
          <w:rFonts w:ascii="Arial" w:eastAsia="Cambria" w:hAnsi="Arial" w:cs="Arial"/>
          <w:b/>
          <w:bCs/>
          <w:kern w:val="0"/>
          <w:sz w:val="28"/>
          <w:szCs w:val="28"/>
          <w:shd w:val="clear" w:color="auto" w:fill="FFFFFF"/>
          <w:lang w:val="en-US"/>
          <w14:ligatures w14:val="none"/>
        </w:rPr>
        <w:t xml:space="preserve">Intesa Sanpaolo reports record first-half results, upgrades guidance </w:t>
      </w:r>
    </w:p>
    <w:p w14:paraId="17139247" w14:textId="63D560DB" w:rsidR="008910B3" w:rsidRPr="00481488" w:rsidRDefault="008910B3" w:rsidP="005947AB">
      <w:pPr>
        <w:spacing w:after="0"/>
        <w:jc w:val="center"/>
        <w:rPr>
          <w:rFonts w:ascii="Arial" w:eastAsia="Cambria" w:hAnsi="Arial" w:cs="Arial"/>
          <w:b/>
          <w:bCs/>
          <w:kern w:val="0"/>
          <w:sz w:val="24"/>
          <w:szCs w:val="24"/>
          <w:shd w:val="clear" w:color="auto" w:fill="FFFFFF"/>
          <w:lang w:val="en-US"/>
          <w14:ligatures w14:val="none"/>
        </w:rPr>
      </w:pPr>
    </w:p>
    <w:p w14:paraId="381D0889" w14:textId="77777777" w:rsidR="00481488" w:rsidRDefault="00481488" w:rsidP="00A26DB1">
      <w:pPr>
        <w:jc w:val="both"/>
        <w:rPr>
          <w:rFonts w:ascii="Arial" w:hAnsi="Arial" w:cs="Arial"/>
          <w:b/>
          <w:bCs/>
          <w:sz w:val="24"/>
          <w:szCs w:val="24"/>
          <w:lang w:val="en-GB"/>
        </w:rPr>
      </w:pPr>
    </w:p>
    <w:p w14:paraId="3FBCE197" w14:textId="489C8812" w:rsidR="00A26DB1" w:rsidRPr="00481488" w:rsidRDefault="0071083D" w:rsidP="00A26DB1">
      <w:pPr>
        <w:jc w:val="both"/>
        <w:rPr>
          <w:rFonts w:ascii="Arial" w:hAnsi="Arial" w:cs="Arial"/>
          <w:sz w:val="24"/>
          <w:szCs w:val="24"/>
          <w:lang w:val="en-US"/>
        </w:rPr>
      </w:pPr>
      <w:r w:rsidRPr="00481488">
        <w:rPr>
          <w:rFonts w:ascii="Arial" w:hAnsi="Arial" w:cs="Arial"/>
          <w:b/>
          <w:bCs/>
          <w:sz w:val="24"/>
          <w:szCs w:val="24"/>
          <w:lang w:val="en-GB"/>
        </w:rPr>
        <w:t xml:space="preserve">Milan, </w:t>
      </w:r>
      <w:r w:rsidR="00A26DB1" w:rsidRPr="00481488">
        <w:rPr>
          <w:rFonts w:ascii="Arial" w:hAnsi="Arial" w:cs="Arial"/>
          <w:b/>
          <w:bCs/>
          <w:sz w:val="24"/>
          <w:szCs w:val="24"/>
          <w:lang w:val="en-GB"/>
        </w:rPr>
        <w:t>29</w:t>
      </w:r>
      <w:r w:rsidR="005C6EB7" w:rsidRPr="00481488">
        <w:rPr>
          <w:rFonts w:ascii="Arial" w:hAnsi="Arial" w:cs="Arial"/>
          <w:b/>
          <w:bCs/>
          <w:sz w:val="24"/>
          <w:szCs w:val="24"/>
          <w:lang w:val="en-GB"/>
        </w:rPr>
        <w:t xml:space="preserve"> </w:t>
      </w:r>
      <w:r w:rsidRPr="00481488">
        <w:rPr>
          <w:rFonts w:ascii="Arial" w:hAnsi="Arial" w:cs="Arial"/>
          <w:b/>
          <w:bCs/>
          <w:sz w:val="24"/>
          <w:szCs w:val="24"/>
          <w:lang w:val="en-GB"/>
        </w:rPr>
        <w:t>July 2026</w:t>
      </w:r>
      <w:r w:rsidRPr="00481488">
        <w:rPr>
          <w:rFonts w:ascii="Arial" w:hAnsi="Arial" w:cs="Arial"/>
          <w:sz w:val="24"/>
          <w:szCs w:val="24"/>
          <w:lang w:val="en-GB"/>
        </w:rPr>
        <w:t xml:space="preserve"> –</w:t>
      </w:r>
      <w:r w:rsidR="00A26DB1" w:rsidRPr="00481488">
        <w:rPr>
          <w:rFonts w:ascii="Arial" w:hAnsi="Arial" w:cs="Arial"/>
          <w:sz w:val="24"/>
          <w:szCs w:val="24"/>
          <w:lang w:val="en-US"/>
        </w:rPr>
        <w:t xml:space="preserve">Intesa Sanpaolo delivered its best six months ever, with Net income of €5.6 billion in the first half of 2026. Net income reached €2.8 billion in the second quarter, marking the best quarterly performance in the Group’s history. Net income increased 6% year-on-year in the first half and 7% in the second quarter. </w:t>
      </w:r>
    </w:p>
    <w:p w14:paraId="4C272363" w14:textId="77777777" w:rsidR="00A26DB1" w:rsidRPr="00481488" w:rsidRDefault="00A26DB1" w:rsidP="00A26DB1">
      <w:pPr>
        <w:jc w:val="both"/>
        <w:rPr>
          <w:rFonts w:ascii="Arial" w:hAnsi="Arial" w:cs="Arial"/>
          <w:sz w:val="24"/>
          <w:szCs w:val="24"/>
          <w:lang w:val="en-US"/>
        </w:rPr>
      </w:pPr>
      <w:r w:rsidRPr="00481488">
        <w:rPr>
          <w:rFonts w:ascii="Arial" w:hAnsi="Arial" w:cs="Arial"/>
          <w:sz w:val="24"/>
          <w:szCs w:val="24"/>
          <w:lang w:val="en-US"/>
        </w:rPr>
        <w:t>Annualized Return on Equity (ROE) reached 20%, while annualized Return on Tangible Equity (ROTE) stood at 25%. Earnings per share (EPS) increased 9% year-on-year, confirming the Group’s ability to deliver sustainable growth.</w:t>
      </w:r>
    </w:p>
    <w:p w14:paraId="14857C63" w14:textId="77777777" w:rsidR="00A26DB1" w:rsidRPr="00481488" w:rsidRDefault="00A26DB1" w:rsidP="00A26DB1">
      <w:pPr>
        <w:jc w:val="both"/>
        <w:rPr>
          <w:rFonts w:ascii="Arial" w:hAnsi="Arial" w:cs="Arial"/>
          <w:b/>
          <w:bCs/>
          <w:sz w:val="24"/>
          <w:szCs w:val="24"/>
          <w:lang w:val="en-US"/>
        </w:rPr>
      </w:pPr>
      <w:r w:rsidRPr="00481488">
        <w:rPr>
          <w:rFonts w:ascii="Arial" w:hAnsi="Arial" w:cs="Arial"/>
          <w:b/>
          <w:bCs/>
          <w:sz w:val="24"/>
          <w:szCs w:val="24"/>
          <w:lang w:val="en-US"/>
        </w:rPr>
        <w:t>Guidance upgrade and shareholder distribution</w:t>
      </w:r>
    </w:p>
    <w:p w14:paraId="60019943" w14:textId="77777777" w:rsidR="00A26DB1" w:rsidRPr="00481488" w:rsidRDefault="00A26DB1" w:rsidP="00A26DB1">
      <w:pPr>
        <w:jc w:val="both"/>
        <w:rPr>
          <w:rFonts w:ascii="Arial" w:hAnsi="Arial" w:cs="Arial"/>
          <w:sz w:val="24"/>
          <w:szCs w:val="24"/>
          <w:lang w:val="en-US"/>
        </w:rPr>
      </w:pPr>
      <w:r w:rsidRPr="00481488">
        <w:rPr>
          <w:rFonts w:ascii="Arial" w:hAnsi="Arial" w:cs="Arial"/>
          <w:sz w:val="24"/>
          <w:szCs w:val="24"/>
          <w:lang w:val="en-US"/>
        </w:rPr>
        <w:t>Based on the excellent six-month performance, Intesa Sanpaolo upgraded its 2026 Net income guidance to more than €10 billion.</w:t>
      </w:r>
    </w:p>
    <w:p w14:paraId="38617B21" w14:textId="77777777" w:rsidR="00A26DB1" w:rsidRPr="00481488" w:rsidRDefault="00A26DB1" w:rsidP="00A26DB1">
      <w:pPr>
        <w:jc w:val="both"/>
        <w:rPr>
          <w:rFonts w:ascii="Arial" w:hAnsi="Arial" w:cs="Arial"/>
          <w:sz w:val="24"/>
          <w:szCs w:val="24"/>
          <w:lang w:val="en-US"/>
        </w:rPr>
      </w:pPr>
      <w:r w:rsidRPr="00481488">
        <w:rPr>
          <w:rFonts w:ascii="Arial" w:hAnsi="Arial" w:cs="Arial"/>
          <w:sz w:val="24"/>
          <w:szCs w:val="24"/>
          <w:lang w:val="en-US"/>
        </w:rPr>
        <w:t>In the first six months, the Group delivered a significant increase in EPS, DPS and Tangible book value per share. A €3.8 billion interim dividend will be paid in November.</w:t>
      </w:r>
    </w:p>
    <w:p w14:paraId="0EBD6806" w14:textId="77777777" w:rsidR="00A26DB1" w:rsidRPr="00481488" w:rsidRDefault="00A26DB1" w:rsidP="00A26DB1">
      <w:pPr>
        <w:jc w:val="both"/>
        <w:rPr>
          <w:rFonts w:ascii="Arial" w:hAnsi="Arial" w:cs="Arial"/>
          <w:sz w:val="24"/>
          <w:szCs w:val="24"/>
          <w:lang w:val="en-US"/>
        </w:rPr>
      </w:pPr>
      <w:r w:rsidRPr="00481488">
        <w:rPr>
          <w:rFonts w:ascii="Arial" w:hAnsi="Arial" w:cs="Arial"/>
          <w:sz w:val="24"/>
          <w:szCs w:val="24"/>
          <w:lang w:val="en-US"/>
        </w:rPr>
        <w:t>For 2026, Intesa Sanpaolo expects to return around €9.4 billion to shareholders through dividends and buybacks.</w:t>
      </w:r>
    </w:p>
    <w:p w14:paraId="134C6927" w14:textId="77777777" w:rsidR="00A26DB1" w:rsidRPr="00481488" w:rsidRDefault="00A26DB1" w:rsidP="00A26DB1">
      <w:pPr>
        <w:jc w:val="both"/>
        <w:rPr>
          <w:rFonts w:ascii="Arial" w:hAnsi="Arial" w:cs="Arial"/>
          <w:sz w:val="24"/>
          <w:szCs w:val="24"/>
          <w:lang w:val="en-US"/>
        </w:rPr>
      </w:pPr>
      <w:r w:rsidRPr="00481488">
        <w:rPr>
          <w:rFonts w:ascii="Arial" w:hAnsi="Arial" w:cs="Arial"/>
          <w:i/>
          <w:iCs/>
          <w:sz w:val="24"/>
          <w:szCs w:val="24"/>
          <w:lang w:val="en-US"/>
        </w:rPr>
        <w:t>“Intesa Sanpaolo continues to rank among the European banks with the highest shareholder remuneration,”</w:t>
      </w:r>
      <w:r w:rsidRPr="00481488">
        <w:rPr>
          <w:rFonts w:ascii="Arial" w:hAnsi="Arial" w:cs="Arial"/>
          <w:sz w:val="24"/>
          <w:szCs w:val="24"/>
          <w:lang w:val="en-US"/>
        </w:rPr>
        <w:t xml:space="preserve"> said Carlo Messina, CEO of Intesa Sanpaolo.</w:t>
      </w:r>
    </w:p>
    <w:p w14:paraId="756AAEC4" w14:textId="77777777" w:rsidR="00A26DB1" w:rsidRPr="00481488" w:rsidRDefault="00A26DB1" w:rsidP="00A26DB1">
      <w:pPr>
        <w:jc w:val="both"/>
        <w:rPr>
          <w:rFonts w:ascii="Arial" w:hAnsi="Arial" w:cs="Arial"/>
          <w:b/>
          <w:bCs/>
          <w:sz w:val="24"/>
          <w:szCs w:val="24"/>
          <w:lang w:val="en-US"/>
        </w:rPr>
      </w:pPr>
      <w:r w:rsidRPr="00481488">
        <w:rPr>
          <w:rFonts w:ascii="Arial" w:hAnsi="Arial" w:cs="Arial"/>
          <w:b/>
          <w:bCs/>
          <w:sz w:val="24"/>
          <w:szCs w:val="24"/>
          <w:lang w:val="en-US"/>
        </w:rPr>
        <w:t>Revenue growth and commercial momentum</w:t>
      </w:r>
    </w:p>
    <w:p w14:paraId="18BF9ED9" w14:textId="77777777" w:rsidR="00A26DB1" w:rsidRPr="00481488" w:rsidRDefault="00A26DB1" w:rsidP="00A26DB1">
      <w:pPr>
        <w:jc w:val="both"/>
        <w:rPr>
          <w:rFonts w:ascii="Arial" w:hAnsi="Arial" w:cs="Arial"/>
          <w:sz w:val="24"/>
          <w:szCs w:val="24"/>
          <w:lang w:val="en-US"/>
        </w:rPr>
      </w:pPr>
      <w:r w:rsidRPr="00481488">
        <w:rPr>
          <w:rFonts w:ascii="Arial" w:hAnsi="Arial" w:cs="Arial"/>
          <w:sz w:val="24"/>
          <w:szCs w:val="24"/>
          <w:lang w:val="en-US"/>
        </w:rPr>
        <w:t>The first half delivered record Revenues, Operating margin and Gross income. Revenues grew across all components, supported by the Group’s well-diversified business model.</w:t>
      </w:r>
    </w:p>
    <w:p w14:paraId="0A3DB83D" w14:textId="77777777" w:rsidR="00A26DB1" w:rsidRPr="00481488" w:rsidRDefault="00A26DB1" w:rsidP="00A26DB1">
      <w:pPr>
        <w:jc w:val="both"/>
        <w:rPr>
          <w:rFonts w:ascii="Arial" w:hAnsi="Arial" w:cs="Arial"/>
          <w:sz w:val="24"/>
          <w:szCs w:val="24"/>
          <w:lang w:val="en-US"/>
        </w:rPr>
      </w:pPr>
      <w:r w:rsidRPr="00481488">
        <w:rPr>
          <w:rFonts w:ascii="Arial" w:hAnsi="Arial" w:cs="Arial"/>
          <w:sz w:val="24"/>
          <w:szCs w:val="24"/>
          <w:lang w:val="en-US"/>
        </w:rPr>
        <w:t>Net interest income (NII) increased compared with last year despite lower rates and strongly accelerated in the second quarter. Guidance for Net interest income was raised to well above €15 billion.</w:t>
      </w:r>
    </w:p>
    <w:p w14:paraId="7CD1A19F" w14:textId="77777777" w:rsidR="00A26DB1" w:rsidRPr="00481488" w:rsidRDefault="00A26DB1" w:rsidP="00A26DB1">
      <w:pPr>
        <w:jc w:val="both"/>
        <w:rPr>
          <w:rFonts w:ascii="Arial" w:hAnsi="Arial" w:cs="Arial"/>
          <w:sz w:val="24"/>
          <w:szCs w:val="24"/>
          <w:lang w:val="en-US"/>
        </w:rPr>
      </w:pPr>
      <w:r w:rsidRPr="00481488">
        <w:rPr>
          <w:rFonts w:ascii="Arial" w:hAnsi="Arial" w:cs="Arial"/>
          <w:sz w:val="24"/>
          <w:szCs w:val="24"/>
          <w:lang w:val="en-US"/>
        </w:rPr>
        <w:t>Commercial momentum remained solid, with Loans to customers increasing for the fifth consecutive quarter and rising 5% year-on-year, while deposits rose 7%. Customer financial assets exceeded €1.5 trillion, with Assets under Management up €49 billion.</w:t>
      </w:r>
    </w:p>
    <w:p w14:paraId="11324A13" w14:textId="77777777" w:rsidR="00A26DB1" w:rsidRPr="00481488" w:rsidRDefault="00A26DB1" w:rsidP="00A26DB1">
      <w:pPr>
        <w:jc w:val="both"/>
        <w:rPr>
          <w:rFonts w:ascii="Arial" w:hAnsi="Arial" w:cs="Arial"/>
          <w:sz w:val="24"/>
          <w:szCs w:val="24"/>
          <w:lang w:val="en-US"/>
        </w:rPr>
      </w:pPr>
      <w:r w:rsidRPr="00481488">
        <w:rPr>
          <w:rFonts w:ascii="Arial" w:hAnsi="Arial" w:cs="Arial"/>
          <w:sz w:val="24"/>
          <w:szCs w:val="24"/>
          <w:lang w:val="en-US"/>
        </w:rPr>
        <w:t xml:space="preserve">The Wealth Management and Protection business continued to deliver strong results, with record Commissions in the first half and second quarter, alongside record Insurance income. Commissions increased by 5% in the first half, while Assets under Management gross inflows were up 7%. The Group’s advisory services continued to act as a stabilizer against the impact of market volatility on fees, while its </w:t>
      </w:r>
      <w:proofErr w:type="gramStart"/>
      <w:r w:rsidRPr="00481488">
        <w:rPr>
          <w:rFonts w:ascii="Arial" w:hAnsi="Arial" w:cs="Arial"/>
          <w:sz w:val="24"/>
          <w:szCs w:val="24"/>
          <w:lang w:val="en-US"/>
        </w:rPr>
        <w:t>fully-owned</w:t>
      </w:r>
      <w:proofErr w:type="gramEnd"/>
      <w:r w:rsidRPr="00481488">
        <w:rPr>
          <w:rFonts w:ascii="Arial" w:hAnsi="Arial" w:cs="Arial"/>
          <w:sz w:val="24"/>
          <w:szCs w:val="24"/>
          <w:lang w:val="en-US"/>
        </w:rPr>
        <w:t xml:space="preserve"> product factories remain a clear competitive advantage.</w:t>
      </w:r>
    </w:p>
    <w:p w14:paraId="51507160" w14:textId="77777777" w:rsidR="00A26DB1" w:rsidRPr="00481488" w:rsidRDefault="00A26DB1" w:rsidP="00A26DB1">
      <w:pPr>
        <w:jc w:val="both"/>
        <w:rPr>
          <w:rFonts w:ascii="Arial" w:hAnsi="Arial" w:cs="Arial"/>
          <w:sz w:val="24"/>
          <w:szCs w:val="24"/>
          <w:lang w:val="en-US"/>
        </w:rPr>
      </w:pPr>
      <w:r w:rsidRPr="00481488">
        <w:rPr>
          <w:rFonts w:ascii="Arial" w:hAnsi="Arial" w:cs="Arial"/>
          <w:i/>
          <w:iCs/>
          <w:sz w:val="24"/>
          <w:szCs w:val="24"/>
          <w:lang w:val="en-US"/>
        </w:rPr>
        <w:t>“We provided more than €44 billion in lending to support families and businesses,”</w:t>
      </w:r>
      <w:r w:rsidRPr="00481488">
        <w:rPr>
          <w:rFonts w:ascii="Arial" w:hAnsi="Arial" w:cs="Arial"/>
          <w:sz w:val="24"/>
          <w:szCs w:val="24"/>
          <w:lang w:val="en-US"/>
        </w:rPr>
        <w:t xml:space="preserve"> Messina said.</w:t>
      </w:r>
    </w:p>
    <w:p w14:paraId="161A4BBD" w14:textId="77777777" w:rsidR="00A26DB1" w:rsidRPr="00481488" w:rsidRDefault="00A26DB1" w:rsidP="00A26DB1">
      <w:pPr>
        <w:jc w:val="both"/>
        <w:rPr>
          <w:rFonts w:ascii="Arial" w:hAnsi="Arial" w:cs="Arial"/>
          <w:b/>
          <w:bCs/>
          <w:sz w:val="24"/>
          <w:szCs w:val="24"/>
          <w:lang w:val="en-US"/>
        </w:rPr>
      </w:pPr>
      <w:r w:rsidRPr="00481488">
        <w:rPr>
          <w:rFonts w:ascii="Arial" w:hAnsi="Arial" w:cs="Arial"/>
          <w:b/>
          <w:bCs/>
          <w:sz w:val="24"/>
          <w:szCs w:val="24"/>
          <w:lang w:val="en-US"/>
        </w:rPr>
        <w:lastRenderedPageBreak/>
        <w:t>Efficiency, asset quality and capital</w:t>
      </w:r>
    </w:p>
    <w:p w14:paraId="09D85FAA" w14:textId="77777777" w:rsidR="00A26DB1" w:rsidRPr="00481488" w:rsidRDefault="00A26DB1" w:rsidP="00A26DB1">
      <w:pPr>
        <w:jc w:val="both"/>
        <w:rPr>
          <w:rFonts w:ascii="Arial" w:hAnsi="Arial" w:cs="Arial"/>
          <w:sz w:val="24"/>
          <w:szCs w:val="24"/>
          <w:lang w:val="en-US"/>
        </w:rPr>
      </w:pPr>
      <w:r w:rsidRPr="00481488">
        <w:rPr>
          <w:rFonts w:ascii="Arial" w:hAnsi="Arial" w:cs="Arial"/>
          <w:sz w:val="24"/>
          <w:szCs w:val="24"/>
          <w:lang w:val="en-US"/>
        </w:rPr>
        <w:t>The Cost/Income ratio was 35.9%, the lowest ever</w:t>
      </w:r>
      <w:proofErr w:type="gramStart"/>
      <w:r w:rsidRPr="00481488">
        <w:rPr>
          <w:rFonts w:ascii="Arial" w:hAnsi="Arial" w:cs="Arial"/>
          <w:sz w:val="24"/>
          <w:szCs w:val="24"/>
          <w:lang w:val="en-US"/>
        </w:rPr>
        <w:t>, also</w:t>
      </w:r>
      <w:proofErr w:type="gramEnd"/>
      <w:r w:rsidRPr="00481488">
        <w:rPr>
          <w:rFonts w:ascii="Arial" w:hAnsi="Arial" w:cs="Arial"/>
          <w:sz w:val="24"/>
          <w:szCs w:val="24"/>
          <w:lang w:val="en-US"/>
        </w:rPr>
        <w:t xml:space="preserve"> thanks to tech investments that are clearly paying off. Operating costs declined by 1% year-on-year.</w:t>
      </w:r>
    </w:p>
    <w:p w14:paraId="4CDAB39B" w14:textId="77777777" w:rsidR="00A26DB1" w:rsidRPr="00481488" w:rsidRDefault="00A26DB1" w:rsidP="00A26DB1">
      <w:pPr>
        <w:jc w:val="both"/>
        <w:rPr>
          <w:rFonts w:ascii="Arial" w:hAnsi="Arial" w:cs="Arial"/>
          <w:sz w:val="24"/>
          <w:szCs w:val="24"/>
          <w:lang w:val="en-US"/>
        </w:rPr>
      </w:pPr>
      <w:proofErr w:type="gramStart"/>
      <w:r w:rsidRPr="00481488">
        <w:rPr>
          <w:rFonts w:ascii="Arial" w:hAnsi="Arial" w:cs="Arial"/>
          <w:sz w:val="24"/>
          <w:szCs w:val="24"/>
          <w:lang w:val="en-US"/>
        </w:rPr>
        <w:t>The tech</w:t>
      </w:r>
      <w:proofErr w:type="gramEnd"/>
      <w:r w:rsidRPr="00481488">
        <w:rPr>
          <w:rFonts w:ascii="Arial" w:hAnsi="Arial" w:cs="Arial"/>
          <w:sz w:val="24"/>
          <w:szCs w:val="24"/>
          <w:lang w:val="en-US"/>
        </w:rPr>
        <w:t xml:space="preserve"> transformation provides further flexibility to reduce Costs and accelerate the generational change of the workforce at no social cost and with no impact on Revenues.</w:t>
      </w:r>
    </w:p>
    <w:p w14:paraId="7D2919A5" w14:textId="77777777" w:rsidR="00A26DB1" w:rsidRPr="00481488" w:rsidRDefault="00A26DB1" w:rsidP="00A26DB1">
      <w:pPr>
        <w:jc w:val="both"/>
        <w:rPr>
          <w:rFonts w:ascii="Arial" w:hAnsi="Arial" w:cs="Arial"/>
          <w:sz w:val="24"/>
          <w:szCs w:val="24"/>
          <w:lang w:val="en-US"/>
        </w:rPr>
      </w:pPr>
      <w:r w:rsidRPr="00481488">
        <w:rPr>
          <w:rFonts w:ascii="Arial" w:hAnsi="Arial" w:cs="Arial"/>
          <w:sz w:val="24"/>
          <w:szCs w:val="24"/>
          <w:lang w:val="en-US"/>
        </w:rPr>
        <w:t>Annualized Cost of risk was 20 basis points, with a strong increase in coverage and no overlays released. The Group reported no signs of asset quality deterioration.</w:t>
      </w:r>
    </w:p>
    <w:p w14:paraId="2CC9D511" w14:textId="77777777" w:rsidR="00A26DB1" w:rsidRPr="00481488" w:rsidRDefault="00A26DB1" w:rsidP="00A26DB1">
      <w:pPr>
        <w:jc w:val="both"/>
        <w:rPr>
          <w:rFonts w:ascii="Arial" w:hAnsi="Arial" w:cs="Arial"/>
          <w:sz w:val="24"/>
          <w:szCs w:val="24"/>
          <w:lang w:val="en-US"/>
        </w:rPr>
      </w:pPr>
      <w:r w:rsidRPr="00481488">
        <w:rPr>
          <w:rFonts w:ascii="Arial" w:hAnsi="Arial" w:cs="Arial"/>
          <w:sz w:val="24"/>
          <w:szCs w:val="24"/>
          <w:lang w:val="en-US"/>
        </w:rPr>
        <w:t xml:space="preserve">NPL inflows were at historical </w:t>
      </w:r>
      <w:proofErr w:type="gramStart"/>
      <w:r w:rsidRPr="00481488">
        <w:rPr>
          <w:rFonts w:ascii="Arial" w:hAnsi="Arial" w:cs="Arial"/>
          <w:sz w:val="24"/>
          <w:szCs w:val="24"/>
          <w:lang w:val="en-US"/>
        </w:rPr>
        <w:t>lows,</w:t>
      </w:r>
      <w:proofErr w:type="gramEnd"/>
      <w:r w:rsidRPr="00481488">
        <w:rPr>
          <w:rFonts w:ascii="Arial" w:hAnsi="Arial" w:cs="Arial"/>
          <w:sz w:val="24"/>
          <w:szCs w:val="24"/>
          <w:lang w:val="en-US"/>
        </w:rPr>
        <w:t xml:space="preserve"> Bad loans were reset to near zero and the loan portfolio remained well diversified.</w:t>
      </w:r>
    </w:p>
    <w:p w14:paraId="55FFA60C" w14:textId="77777777" w:rsidR="00A26DB1" w:rsidRPr="00481488" w:rsidRDefault="00A26DB1" w:rsidP="00A26DB1">
      <w:pPr>
        <w:jc w:val="both"/>
        <w:rPr>
          <w:rFonts w:ascii="Arial" w:hAnsi="Arial" w:cs="Arial"/>
          <w:sz w:val="24"/>
          <w:szCs w:val="24"/>
          <w:lang w:val="en-US"/>
        </w:rPr>
      </w:pPr>
      <w:r w:rsidRPr="00481488">
        <w:rPr>
          <w:rFonts w:ascii="Arial" w:hAnsi="Arial" w:cs="Arial"/>
          <w:sz w:val="24"/>
          <w:szCs w:val="24"/>
          <w:lang w:val="en-US"/>
        </w:rPr>
        <w:t>The Common Equity ratio was 13.1%, or 13.8% including the benefit from DTA absorption. MREL ratios were best-in-class and liquidity ratios remained well above Business Plan targets.</w:t>
      </w:r>
    </w:p>
    <w:p w14:paraId="4B91EF07" w14:textId="77777777" w:rsidR="00A26DB1" w:rsidRPr="00481488" w:rsidRDefault="00A26DB1" w:rsidP="00A26DB1">
      <w:pPr>
        <w:jc w:val="both"/>
        <w:rPr>
          <w:rFonts w:ascii="Arial" w:hAnsi="Arial" w:cs="Arial"/>
          <w:b/>
          <w:bCs/>
          <w:sz w:val="24"/>
          <w:szCs w:val="24"/>
        </w:rPr>
      </w:pPr>
      <w:r w:rsidRPr="00481488">
        <w:rPr>
          <w:rFonts w:ascii="Arial" w:hAnsi="Arial" w:cs="Arial"/>
          <w:b/>
          <w:bCs/>
          <w:sz w:val="24"/>
          <w:szCs w:val="24"/>
        </w:rPr>
        <w:t>Monte dei Paschi di Siena transaction</w:t>
      </w:r>
    </w:p>
    <w:p w14:paraId="388BC320" w14:textId="77777777" w:rsidR="00A26DB1" w:rsidRPr="00481488" w:rsidRDefault="00A26DB1" w:rsidP="00A26DB1">
      <w:pPr>
        <w:jc w:val="both"/>
        <w:rPr>
          <w:rFonts w:ascii="Arial" w:hAnsi="Arial" w:cs="Arial"/>
          <w:sz w:val="24"/>
          <w:szCs w:val="24"/>
          <w:lang w:val="en-US"/>
        </w:rPr>
      </w:pPr>
      <w:r w:rsidRPr="00481488">
        <w:rPr>
          <w:rFonts w:ascii="Arial" w:hAnsi="Arial" w:cs="Arial"/>
          <w:sz w:val="24"/>
          <w:szCs w:val="24"/>
          <w:lang w:val="en-US"/>
        </w:rPr>
        <w:t xml:space="preserve">The offer for Monte </w:t>
      </w:r>
      <w:proofErr w:type="spellStart"/>
      <w:r w:rsidRPr="00481488">
        <w:rPr>
          <w:rFonts w:ascii="Arial" w:hAnsi="Arial" w:cs="Arial"/>
          <w:sz w:val="24"/>
          <w:szCs w:val="24"/>
          <w:lang w:val="en-US"/>
        </w:rPr>
        <w:t>dei</w:t>
      </w:r>
      <w:proofErr w:type="spellEnd"/>
      <w:r w:rsidRPr="00481488">
        <w:rPr>
          <w:rFonts w:ascii="Arial" w:hAnsi="Arial" w:cs="Arial"/>
          <w:sz w:val="24"/>
          <w:szCs w:val="24"/>
          <w:lang w:val="en-US"/>
        </w:rPr>
        <w:t xml:space="preserve"> Paschi is well on track. The transaction is a major accelerator of the Business Plan and will expand Intesa Sanpaolo’s client base by six million clients, while strengthening its franchise in Consumer Finance and in Corporate &amp; Investment Banking, leveraging Mediobanca’s international footprint.</w:t>
      </w:r>
    </w:p>
    <w:p w14:paraId="64C96576" w14:textId="77777777" w:rsidR="00A26DB1" w:rsidRPr="00481488" w:rsidRDefault="00A26DB1" w:rsidP="00A26DB1">
      <w:pPr>
        <w:jc w:val="both"/>
        <w:rPr>
          <w:rFonts w:ascii="Arial" w:hAnsi="Arial" w:cs="Arial"/>
          <w:sz w:val="24"/>
          <w:szCs w:val="24"/>
          <w:lang w:val="en-US"/>
        </w:rPr>
      </w:pPr>
      <w:r w:rsidRPr="00481488">
        <w:rPr>
          <w:rFonts w:ascii="Arial" w:hAnsi="Arial" w:cs="Arial"/>
          <w:i/>
          <w:iCs/>
          <w:sz w:val="24"/>
          <w:szCs w:val="24"/>
          <w:lang w:val="en-US"/>
        </w:rPr>
        <w:t>“Our objective is to create an even stronger and more profitable Group together, playing a leading role in an increasingly complex global environment,”</w:t>
      </w:r>
      <w:r w:rsidRPr="00481488">
        <w:rPr>
          <w:rFonts w:ascii="Arial" w:hAnsi="Arial" w:cs="Arial"/>
          <w:sz w:val="24"/>
          <w:szCs w:val="24"/>
          <w:lang w:val="en-US"/>
        </w:rPr>
        <w:t xml:space="preserve"> Messina said.</w:t>
      </w:r>
    </w:p>
    <w:p w14:paraId="1D463A9C" w14:textId="77777777" w:rsidR="00A26DB1" w:rsidRPr="00481488" w:rsidRDefault="00A26DB1" w:rsidP="00A26DB1">
      <w:pPr>
        <w:jc w:val="both"/>
        <w:rPr>
          <w:rFonts w:ascii="Arial" w:hAnsi="Arial" w:cs="Arial"/>
          <w:sz w:val="24"/>
          <w:szCs w:val="24"/>
          <w:lang w:val="en-US"/>
        </w:rPr>
      </w:pPr>
      <w:r w:rsidRPr="00481488">
        <w:rPr>
          <w:rFonts w:ascii="Arial" w:hAnsi="Arial" w:cs="Arial"/>
          <w:sz w:val="24"/>
          <w:szCs w:val="24"/>
          <w:lang w:val="en-US"/>
        </w:rPr>
        <w:t>Intesa Sanpaolo expects to deliver €2.9 billion in synergies by drawing on its proven execution capabilities and IT platform. The transaction is expected to enable the Group to achieve its Business Plan targets three years in advance, reaching €2 trillion in Customer financial assets by 2029.</w:t>
      </w:r>
    </w:p>
    <w:p w14:paraId="2A4324E0" w14:textId="77777777" w:rsidR="00A26DB1" w:rsidRPr="00481488" w:rsidRDefault="00A26DB1" w:rsidP="00A26DB1">
      <w:pPr>
        <w:jc w:val="both"/>
        <w:rPr>
          <w:rFonts w:ascii="Arial" w:hAnsi="Arial" w:cs="Arial"/>
          <w:sz w:val="24"/>
          <w:szCs w:val="24"/>
          <w:lang w:val="en-US"/>
        </w:rPr>
      </w:pPr>
      <w:r w:rsidRPr="00481488">
        <w:rPr>
          <w:rFonts w:ascii="Arial" w:hAnsi="Arial" w:cs="Arial"/>
          <w:i/>
          <w:iCs/>
          <w:sz w:val="24"/>
          <w:szCs w:val="24"/>
          <w:lang w:val="en-US"/>
        </w:rPr>
        <w:t xml:space="preserve">“Our recruitment </w:t>
      </w:r>
      <w:proofErr w:type="spellStart"/>
      <w:r w:rsidRPr="00481488">
        <w:rPr>
          <w:rFonts w:ascii="Arial" w:hAnsi="Arial" w:cs="Arial"/>
          <w:i/>
          <w:iCs/>
          <w:sz w:val="24"/>
          <w:szCs w:val="24"/>
          <w:lang w:val="en-US"/>
        </w:rPr>
        <w:t>programme</w:t>
      </w:r>
      <w:proofErr w:type="spellEnd"/>
      <w:r w:rsidRPr="00481488">
        <w:rPr>
          <w:rFonts w:ascii="Arial" w:hAnsi="Arial" w:cs="Arial"/>
          <w:i/>
          <w:iCs/>
          <w:sz w:val="24"/>
          <w:szCs w:val="24"/>
          <w:lang w:val="en-US"/>
        </w:rPr>
        <w:t xml:space="preserve"> provides for 13,100 young people to join the Group,”</w:t>
      </w:r>
      <w:r w:rsidRPr="00481488">
        <w:rPr>
          <w:rFonts w:ascii="Arial" w:hAnsi="Arial" w:cs="Arial"/>
          <w:sz w:val="24"/>
          <w:szCs w:val="24"/>
          <w:lang w:val="en-US"/>
        </w:rPr>
        <w:t xml:space="preserve"> Messina added.</w:t>
      </w:r>
    </w:p>
    <w:p w14:paraId="6CEA73AC" w14:textId="77777777" w:rsidR="00A26DB1" w:rsidRPr="00481488" w:rsidRDefault="00A26DB1" w:rsidP="00A26DB1">
      <w:pPr>
        <w:jc w:val="both"/>
        <w:rPr>
          <w:rFonts w:ascii="Arial" w:hAnsi="Arial" w:cs="Arial"/>
          <w:sz w:val="24"/>
          <w:szCs w:val="24"/>
          <w:lang w:val="en-US"/>
        </w:rPr>
      </w:pPr>
      <w:r w:rsidRPr="00481488">
        <w:rPr>
          <w:rFonts w:ascii="Arial" w:hAnsi="Arial" w:cs="Arial"/>
          <w:sz w:val="24"/>
          <w:szCs w:val="24"/>
          <w:lang w:val="en-US"/>
        </w:rPr>
        <w:t>As a result, the Group expects to generate more than €16 billion in Net income in 2029, with strong EPS, DPS and capital distribution per share accretion and no integration risk.</w:t>
      </w:r>
    </w:p>
    <w:p w14:paraId="02D59B8B" w14:textId="1C917087" w:rsidR="00DB1EC1" w:rsidRPr="00481488" w:rsidRDefault="00DB1EC1" w:rsidP="00A26DB1">
      <w:pPr>
        <w:jc w:val="both"/>
        <w:rPr>
          <w:rFonts w:ascii="Arial" w:hAnsi="Arial" w:cs="Arial"/>
          <w:i/>
          <w:color w:val="000000"/>
          <w:spacing w:val="-7"/>
          <w:sz w:val="24"/>
          <w:szCs w:val="24"/>
          <w:lang w:val="en-GB" w:eastAsia="it-IT"/>
        </w:rPr>
      </w:pPr>
    </w:p>
    <w:p w14:paraId="721850C1" w14:textId="37F08FB6" w:rsidR="00012187" w:rsidRPr="00481488" w:rsidRDefault="00D421BA" w:rsidP="00012187">
      <w:pPr>
        <w:widowControl w:val="0"/>
        <w:autoSpaceDE w:val="0"/>
        <w:spacing w:after="0"/>
        <w:jc w:val="both"/>
        <w:textAlignment w:val="center"/>
        <w:rPr>
          <w:rFonts w:ascii="Arial" w:hAnsi="Arial" w:cs="Arial"/>
          <w:i/>
          <w:color w:val="000000"/>
          <w:spacing w:val="-7"/>
          <w:sz w:val="24"/>
          <w:szCs w:val="24"/>
          <w:lang w:val="en-GB" w:eastAsia="it-IT"/>
        </w:rPr>
      </w:pPr>
      <w:r w:rsidRPr="00481488">
        <w:rPr>
          <w:rFonts w:ascii="Arial" w:hAnsi="Arial" w:cs="Arial"/>
          <w:i/>
          <w:color w:val="000000"/>
          <w:spacing w:val="-7"/>
          <w:sz w:val="24"/>
          <w:szCs w:val="24"/>
          <w:lang w:val="en-GB" w:eastAsia="it-IT"/>
        </w:rPr>
        <w:t>Media Relations</w:t>
      </w:r>
      <w:r w:rsidR="00012187" w:rsidRPr="00481488">
        <w:rPr>
          <w:rFonts w:ascii="Arial" w:hAnsi="Arial" w:cs="Arial"/>
          <w:i/>
          <w:color w:val="000000"/>
          <w:spacing w:val="-7"/>
          <w:sz w:val="24"/>
          <w:szCs w:val="24"/>
          <w:lang w:val="en-GB" w:eastAsia="it-IT"/>
        </w:rPr>
        <w:t xml:space="preserve"> </w:t>
      </w:r>
    </w:p>
    <w:p w14:paraId="29DEE889" w14:textId="77777777" w:rsidR="00012187" w:rsidRPr="00481488" w:rsidRDefault="00012187" w:rsidP="00012187">
      <w:pPr>
        <w:widowControl w:val="0"/>
        <w:autoSpaceDE w:val="0"/>
        <w:spacing w:after="0"/>
        <w:jc w:val="both"/>
        <w:textAlignment w:val="center"/>
        <w:rPr>
          <w:rFonts w:ascii="Arial" w:hAnsi="Arial" w:cs="Arial"/>
          <w:b/>
          <w:bCs/>
          <w:color w:val="000000"/>
          <w:spacing w:val="-7"/>
          <w:sz w:val="24"/>
          <w:szCs w:val="24"/>
          <w:lang w:val="en-GB" w:eastAsia="it-IT"/>
        </w:rPr>
      </w:pPr>
      <w:r w:rsidRPr="00481488">
        <w:rPr>
          <w:rFonts w:ascii="Arial" w:hAnsi="Arial" w:cs="Arial"/>
          <w:b/>
          <w:bCs/>
          <w:color w:val="000000"/>
          <w:spacing w:val="-7"/>
          <w:sz w:val="24"/>
          <w:szCs w:val="24"/>
          <w:lang w:val="en-GB" w:eastAsia="it-IT"/>
        </w:rPr>
        <w:t xml:space="preserve">Intesa Sanpaolo </w:t>
      </w:r>
    </w:p>
    <w:p w14:paraId="678BA350" w14:textId="77777777" w:rsidR="00012187" w:rsidRPr="00481488" w:rsidRDefault="00012187" w:rsidP="00012187">
      <w:pPr>
        <w:widowControl w:val="0"/>
        <w:autoSpaceDE w:val="0"/>
        <w:spacing w:after="0"/>
        <w:jc w:val="both"/>
        <w:textAlignment w:val="center"/>
        <w:rPr>
          <w:rFonts w:ascii="Arial" w:hAnsi="Arial" w:cs="Arial"/>
          <w:bCs/>
          <w:color w:val="000000"/>
          <w:spacing w:val="-7"/>
          <w:sz w:val="24"/>
          <w:szCs w:val="24"/>
          <w:lang w:val="en-GB" w:eastAsia="it-IT"/>
        </w:rPr>
      </w:pPr>
      <w:r w:rsidRPr="00481488">
        <w:rPr>
          <w:rFonts w:ascii="Arial" w:hAnsi="Arial" w:cs="Arial"/>
          <w:bCs/>
          <w:color w:val="000000"/>
          <w:spacing w:val="-7"/>
          <w:sz w:val="24"/>
          <w:szCs w:val="24"/>
          <w:lang w:val="en-GB" w:eastAsia="it-IT"/>
        </w:rPr>
        <w:t>Media and Associations Relations</w:t>
      </w:r>
    </w:p>
    <w:p w14:paraId="73052234" w14:textId="77777777" w:rsidR="00012187" w:rsidRPr="00481488" w:rsidRDefault="00012187" w:rsidP="00012187">
      <w:pPr>
        <w:widowControl w:val="0"/>
        <w:autoSpaceDE w:val="0"/>
        <w:spacing w:after="0"/>
        <w:jc w:val="both"/>
        <w:textAlignment w:val="center"/>
        <w:rPr>
          <w:rFonts w:ascii="Arial" w:hAnsi="Arial" w:cs="Arial"/>
          <w:bCs/>
          <w:color w:val="000000"/>
          <w:spacing w:val="-7"/>
          <w:sz w:val="24"/>
          <w:szCs w:val="24"/>
          <w:lang w:val="en-GB" w:eastAsia="it-IT"/>
        </w:rPr>
      </w:pPr>
      <w:r w:rsidRPr="00481488">
        <w:rPr>
          <w:rFonts w:ascii="Arial" w:hAnsi="Arial" w:cs="Arial"/>
          <w:bCs/>
          <w:color w:val="000000"/>
          <w:spacing w:val="-7"/>
          <w:sz w:val="24"/>
          <w:szCs w:val="24"/>
          <w:lang w:val="en-GB" w:eastAsia="it-IT"/>
        </w:rPr>
        <w:t>International and Digital Media Communications</w:t>
      </w:r>
    </w:p>
    <w:p w14:paraId="26FE258B" w14:textId="77777777" w:rsidR="00012187" w:rsidRPr="00481488" w:rsidRDefault="00012187" w:rsidP="00012187">
      <w:pPr>
        <w:widowControl w:val="0"/>
        <w:autoSpaceDE w:val="0"/>
        <w:spacing w:after="0"/>
        <w:jc w:val="both"/>
        <w:textAlignment w:val="center"/>
        <w:rPr>
          <w:rFonts w:ascii="Arial" w:hAnsi="Arial" w:cs="Arial"/>
          <w:bCs/>
          <w:color w:val="000000"/>
          <w:spacing w:val="-7"/>
          <w:sz w:val="24"/>
          <w:szCs w:val="24"/>
          <w:lang w:val="en-GB" w:eastAsia="it-IT"/>
        </w:rPr>
      </w:pPr>
      <w:r w:rsidRPr="00481488">
        <w:rPr>
          <w:rFonts w:ascii="Arial" w:hAnsi="Arial" w:cs="Arial"/>
          <w:bCs/>
          <w:color w:val="000000"/>
          <w:spacing w:val="-7"/>
          <w:sz w:val="24"/>
          <w:szCs w:val="24"/>
          <w:lang w:val="en-US" w:eastAsia="it-IT"/>
        </w:rPr>
        <w:t>Group Chief Institutional Affairs and External Communication Officer Area</w:t>
      </w:r>
    </w:p>
    <w:p w14:paraId="7EF31AB0" w14:textId="77777777" w:rsidR="00012187" w:rsidRPr="00481488" w:rsidRDefault="00012187" w:rsidP="00012187">
      <w:pPr>
        <w:widowControl w:val="0"/>
        <w:autoSpaceDE w:val="0"/>
        <w:spacing w:after="0"/>
        <w:jc w:val="both"/>
        <w:textAlignment w:val="center"/>
        <w:rPr>
          <w:rFonts w:ascii="Arial" w:hAnsi="Arial" w:cs="Arial"/>
          <w:bCs/>
          <w:color w:val="000000"/>
          <w:spacing w:val="-7"/>
          <w:sz w:val="24"/>
          <w:szCs w:val="24"/>
          <w:lang w:val="en-GB" w:eastAsia="it-IT"/>
        </w:rPr>
      </w:pPr>
    </w:p>
    <w:p w14:paraId="4F53BFEE" w14:textId="77777777" w:rsidR="00012187" w:rsidRPr="00481488" w:rsidRDefault="00012187" w:rsidP="00012187">
      <w:pPr>
        <w:widowControl w:val="0"/>
        <w:autoSpaceDE w:val="0"/>
        <w:spacing w:after="0"/>
        <w:jc w:val="both"/>
        <w:textAlignment w:val="center"/>
        <w:rPr>
          <w:rFonts w:ascii="Arial" w:hAnsi="Arial" w:cs="Arial"/>
          <w:bCs/>
          <w:color w:val="000000"/>
          <w:spacing w:val="-7"/>
          <w:sz w:val="24"/>
          <w:szCs w:val="24"/>
          <w:lang w:val="en-GB" w:eastAsia="it-IT"/>
        </w:rPr>
      </w:pPr>
      <w:hyperlink r:id="rId7" w:history="1">
        <w:r w:rsidRPr="00481488">
          <w:rPr>
            <w:rStyle w:val="Hyperlink"/>
            <w:rFonts w:ascii="Arial" w:hAnsi="Arial" w:cs="Arial"/>
            <w:bCs/>
            <w:spacing w:val="-7"/>
            <w:sz w:val="24"/>
            <w:szCs w:val="24"/>
            <w:lang w:val="en-GB" w:eastAsia="it-IT"/>
          </w:rPr>
          <w:t>international.media@intesasanpaolo.com</w:t>
        </w:r>
      </w:hyperlink>
      <w:r w:rsidRPr="00481488">
        <w:rPr>
          <w:rFonts w:ascii="Arial" w:hAnsi="Arial" w:cs="Arial"/>
          <w:bCs/>
          <w:color w:val="000000"/>
          <w:spacing w:val="-7"/>
          <w:sz w:val="24"/>
          <w:szCs w:val="24"/>
          <w:lang w:val="en-GB" w:eastAsia="it-IT"/>
        </w:rPr>
        <w:t xml:space="preserve"> </w:t>
      </w:r>
    </w:p>
    <w:p w14:paraId="5AF7002D" w14:textId="77777777" w:rsidR="00012187" w:rsidRPr="00481488" w:rsidRDefault="00012187" w:rsidP="00012187">
      <w:pPr>
        <w:jc w:val="both"/>
        <w:rPr>
          <w:rFonts w:ascii="Arial" w:hAnsi="Arial" w:cs="Arial"/>
          <w:b/>
          <w:sz w:val="24"/>
          <w:szCs w:val="24"/>
          <w:lang w:val="en-GB"/>
        </w:rPr>
      </w:pPr>
    </w:p>
    <w:sectPr w:rsidR="00012187" w:rsidRPr="00481488">
      <w:headerReference w:type="default" r:id="rId8"/>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FCF7D3" w14:textId="77777777" w:rsidR="00CD2C47" w:rsidRDefault="00CD2C47" w:rsidP="00C313CA">
      <w:pPr>
        <w:spacing w:after="0" w:line="240" w:lineRule="auto"/>
      </w:pPr>
      <w:r>
        <w:separator/>
      </w:r>
    </w:p>
  </w:endnote>
  <w:endnote w:type="continuationSeparator" w:id="0">
    <w:p w14:paraId="3301AFA8" w14:textId="77777777" w:rsidR="00CD2C47" w:rsidRDefault="00CD2C47" w:rsidP="00C313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7355936"/>
      <w:docPartObj>
        <w:docPartGallery w:val="Page Numbers (Bottom of Page)"/>
        <w:docPartUnique/>
      </w:docPartObj>
    </w:sdtPr>
    <w:sdtEndPr>
      <w:rPr>
        <w:noProof/>
      </w:rPr>
    </w:sdtEndPr>
    <w:sdtContent>
      <w:p w14:paraId="4DB1D877" w14:textId="3A2E5CC8" w:rsidR="00413714" w:rsidRDefault="00413714">
        <w:pPr>
          <w:pStyle w:val="Footer"/>
          <w:jc w:val="center"/>
        </w:pPr>
        <w:r w:rsidRPr="00413714">
          <w:rPr>
            <w:sz w:val="18"/>
            <w:szCs w:val="18"/>
          </w:rPr>
          <w:fldChar w:fldCharType="begin"/>
        </w:r>
        <w:r w:rsidRPr="00413714">
          <w:rPr>
            <w:sz w:val="18"/>
            <w:szCs w:val="18"/>
          </w:rPr>
          <w:instrText xml:space="preserve"> PAGE   \* MERGEFORMAT </w:instrText>
        </w:r>
        <w:r w:rsidRPr="00413714">
          <w:rPr>
            <w:sz w:val="18"/>
            <w:szCs w:val="18"/>
          </w:rPr>
          <w:fldChar w:fldCharType="separate"/>
        </w:r>
        <w:r w:rsidRPr="00413714">
          <w:rPr>
            <w:noProof/>
            <w:sz w:val="18"/>
            <w:szCs w:val="18"/>
          </w:rPr>
          <w:t>2</w:t>
        </w:r>
        <w:r w:rsidRPr="00413714">
          <w:rPr>
            <w:noProof/>
            <w:sz w:val="18"/>
            <w:szCs w:val="18"/>
          </w:rPr>
          <w:fldChar w:fldCharType="end"/>
        </w:r>
        <w:r w:rsidRPr="00413714">
          <w:rPr>
            <w:noProof/>
            <w:sz w:val="18"/>
            <w:szCs w:val="18"/>
          </w:rPr>
          <w:t>/2</w:t>
        </w:r>
      </w:p>
    </w:sdtContent>
  </w:sdt>
  <w:p w14:paraId="552E85FB" w14:textId="77777777" w:rsidR="00830D20" w:rsidRDefault="00830D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32B9F7" w14:textId="77777777" w:rsidR="00CD2C47" w:rsidRDefault="00CD2C47" w:rsidP="00C313CA">
      <w:pPr>
        <w:spacing w:after="0" w:line="240" w:lineRule="auto"/>
      </w:pPr>
      <w:r>
        <w:separator/>
      </w:r>
    </w:p>
  </w:footnote>
  <w:footnote w:type="continuationSeparator" w:id="0">
    <w:p w14:paraId="0A8A8752" w14:textId="77777777" w:rsidR="00CD2C47" w:rsidRDefault="00CD2C47" w:rsidP="00C313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9AAC2" w14:textId="361E13DF" w:rsidR="00C313CA" w:rsidRDefault="00C313CA">
    <w:pPr>
      <w:pStyle w:val="Header"/>
    </w:pPr>
    <w:r w:rsidRPr="00BF0F48">
      <w:rPr>
        <w:noProof/>
        <w:lang w:eastAsia="it-IT"/>
      </w:rPr>
      <w:drawing>
        <wp:anchor distT="0" distB="0" distL="114300" distR="114300" simplePos="0" relativeHeight="251659264" behindDoc="0" locked="0" layoutInCell="1" allowOverlap="1" wp14:anchorId="20CDF9A8" wp14:editId="7DA5898E">
          <wp:simplePos x="0" y="0"/>
          <wp:positionH relativeFrom="column">
            <wp:posOffset>0</wp:posOffset>
          </wp:positionH>
          <wp:positionV relativeFrom="paragraph">
            <wp:posOffset>-1270</wp:posOffset>
          </wp:positionV>
          <wp:extent cx="2604135" cy="270510"/>
          <wp:effectExtent l="0" t="0" r="5715" b="0"/>
          <wp:wrapTight wrapText="right">
            <wp:wrapPolygon edited="0">
              <wp:start x="0" y="0"/>
              <wp:lineTo x="0" y="19775"/>
              <wp:lineTo x="21489" y="19775"/>
              <wp:lineTo x="21489" y="0"/>
              <wp:lineTo x="0" y="0"/>
            </wp:wrapPolygon>
          </wp:wrapTight>
          <wp:docPr id="11" name="Immagine 11" descr="INTESA_SANPAOLO_COL"/>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2604135" cy="27051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p w14:paraId="51FC63FE" w14:textId="220B23BB" w:rsidR="00C313CA" w:rsidRDefault="00C313CA">
    <w:pPr>
      <w:pStyle w:val="Header"/>
    </w:pPr>
  </w:p>
  <w:p w14:paraId="5BBC7150" w14:textId="77777777" w:rsidR="00C313CA" w:rsidRDefault="00C313CA">
    <w:pPr>
      <w:pStyle w:val="Header"/>
    </w:pPr>
  </w:p>
  <w:p w14:paraId="44C173F4" w14:textId="77777777" w:rsidR="00D967AC" w:rsidRDefault="00D967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4A3643"/>
    <w:multiLevelType w:val="hybridMultilevel"/>
    <w:tmpl w:val="C43494E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16cid:durableId="3295988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3CA"/>
    <w:rsid w:val="0000182C"/>
    <w:rsid w:val="00004490"/>
    <w:rsid w:val="00004E1A"/>
    <w:rsid w:val="00005CAE"/>
    <w:rsid w:val="00012187"/>
    <w:rsid w:val="00013B31"/>
    <w:rsid w:val="00027A9A"/>
    <w:rsid w:val="0003209E"/>
    <w:rsid w:val="0003284C"/>
    <w:rsid w:val="00034E27"/>
    <w:rsid w:val="00037B11"/>
    <w:rsid w:val="00043AE0"/>
    <w:rsid w:val="00044F35"/>
    <w:rsid w:val="0005043B"/>
    <w:rsid w:val="000523B8"/>
    <w:rsid w:val="0006627D"/>
    <w:rsid w:val="00072F2D"/>
    <w:rsid w:val="00075EE3"/>
    <w:rsid w:val="00087FC8"/>
    <w:rsid w:val="000A59B8"/>
    <w:rsid w:val="000B269E"/>
    <w:rsid w:val="000B331F"/>
    <w:rsid w:val="000C31BC"/>
    <w:rsid w:val="000E53A6"/>
    <w:rsid w:val="000F1DBA"/>
    <w:rsid w:val="000F2281"/>
    <w:rsid w:val="00114167"/>
    <w:rsid w:val="00124BFC"/>
    <w:rsid w:val="00136486"/>
    <w:rsid w:val="00143914"/>
    <w:rsid w:val="001461DC"/>
    <w:rsid w:val="001547F7"/>
    <w:rsid w:val="00177E47"/>
    <w:rsid w:val="0019091C"/>
    <w:rsid w:val="00192A2D"/>
    <w:rsid w:val="001B03DA"/>
    <w:rsid w:val="001B0A57"/>
    <w:rsid w:val="001B4D10"/>
    <w:rsid w:val="001C0750"/>
    <w:rsid w:val="001E1E28"/>
    <w:rsid w:val="001F0068"/>
    <w:rsid w:val="001F3D1C"/>
    <w:rsid w:val="00200CDC"/>
    <w:rsid w:val="00210874"/>
    <w:rsid w:val="0021095F"/>
    <w:rsid w:val="00222C3C"/>
    <w:rsid w:val="00227818"/>
    <w:rsid w:val="00237258"/>
    <w:rsid w:val="0024124B"/>
    <w:rsid w:val="00241EFC"/>
    <w:rsid w:val="00242986"/>
    <w:rsid w:val="0024514F"/>
    <w:rsid w:val="00245CFD"/>
    <w:rsid w:val="0024713E"/>
    <w:rsid w:val="00251C3B"/>
    <w:rsid w:val="00252996"/>
    <w:rsid w:val="002612F8"/>
    <w:rsid w:val="002671E9"/>
    <w:rsid w:val="00270F0F"/>
    <w:rsid w:val="00280100"/>
    <w:rsid w:val="00280D4B"/>
    <w:rsid w:val="00281845"/>
    <w:rsid w:val="00285C8F"/>
    <w:rsid w:val="0028661A"/>
    <w:rsid w:val="00290892"/>
    <w:rsid w:val="002917AE"/>
    <w:rsid w:val="00292DDE"/>
    <w:rsid w:val="00296E90"/>
    <w:rsid w:val="002A75CC"/>
    <w:rsid w:val="002B0A76"/>
    <w:rsid w:val="002B78B9"/>
    <w:rsid w:val="002D1F63"/>
    <w:rsid w:val="002D2810"/>
    <w:rsid w:val="002E17F1"/>
    <w:rsid w:val="002E3B41"/>
    <w:rsid w:val="002F4343"/>
    <w:rsid w:val="002F4DA1"/>
    <w:rsid w:val="0030580E"/>
    <w:rsid w:val="00314464"/>
    <w:rsid w:val="003177F0"/>
    <w:rsid w:val="003279CF"/>
    <w:rsid w:val="00333D16"/>
    <w:rsid w:val="00340C48"/>
    <w:rsid w:val="003457DC"/>
    <w:rsid w:val="00355360"/>
    <w:rsid w:val="00380B10"/>
    <w:rsid w:val="00380FF0"/>
    <w:rsid w:val="003827CB"/>
    <w:rsid w:val="003913B9"/>
    <w:rsid w:val="003A6179"/>
    <w:rsid w:val="003B5370"/>
    <w:rsid w:val="003B6A89"/>
    <w:rsid w:val="003D0340"/>
    <w:rsid w:val="003D171B"/>
    <w:rsid w:val="003E1522"/>
    <w:rsid w:val="003E3687"/>
    <w:rsid w:val="003E56D1"/>
    <w:rsid w:val="003F4FB9"/>
    <w:rsid w:val="004000FA"/>
    <w:rsid w:val="00404E76"/>
    <w:rsid w:val="0041087D"/>
    <w:rsid w:val="00413714"/>
    <w:rsid w:val="00416367"/>
    <w:rsid w:val="0042067D"/>
    <w:rsid w:val="0042707C"/>
    <w:rsid w:val="00436F96"/>
    <w:rsid w:val="00437993"/>
    <w:rsid w:val="004410C1"/>
    <w:rsid w:val="0044526B"/>
    <w:rsid w:val="00453A00"/>
    <w:rsid w:val="00464B63"/>
    <w:rsid w:val="00480378"/>
    <w:rsid w:val="0048047D"/>
    <w:rsid w:val="00481488"/>
    <w:rsid w:val="004A67F4"/>
    <w:rsid w:val="004A7F15"/>
    <w:rsid w:val="004B51A9"/>
    <w:rsid w:val="004B621D"/>
    <w:rsid w:val="004C6882"/>
    <w:rsid w:val="004C7606"/>
    <w:rsid w:val="004C77D1"/>
    <w:rsid w:val="004D32CA"/>
    <w:rsid w:val="004E6E2D"/>
    <w:rsid w:val="004F2B5D"/>
    <w:rsid w:val="00501D99"/>
    <w:rsid w:val="0050281D"/>
    <w:rsid w:val="00510426"/>
    <w:rsid w:val="005177F0"/>
    <w:rsid w:val="00526292"/>
    <w:rsid w:val="00534CCF"/>
    <w:rsid w:val="0054023F"/>
    <w:rsid w:val="005470F6"/>
    <w:rsid w:val="00560B57"/>
    <w:rsid w:val="00570306"/>
    <w:rsid w:val="00570D1D"/>
    <w:rsid w:val="005762AD"/>
    <w:rsid w:val="00581579"/>
    <w:rsid w:val="005947AB"/>
    <w:rsid w:val="00596D8D"/>
    <w:rsid w:val="005A2021"/>
    <w:rsid w:val="005A7E20"/>
    <w:rsid w:val="005C1683"/>
    <w:rsid w:val="005C63F5"/>
    <w:rsid w:val="005C6EB7"/>
    <w:rsid w:val="005E05F6"/>
    <w:rsid w:val="005E31B4"/>
    <w:rsid w:val="005F1B43"/>
    <w:rsid w:val="0060013A"/>
    <w:rsid w:val="006037CB"/>
    <w:rsid w:val="00603CAD"/>
    <w:rsid w:val="00617C5C"/>
    <w:rsid w:val="00617D49"/>
    <w:rsid w:val="006212BF"/>
    <w:rsid w:val="00621BCC"/>
    <w:rsid w:val="00624A00"/>
    <w:rsid w:val="006257BA"/>
    <w:rsid w:val="00626348"/>
    <w:rsid w:val="006379A2"/>
    <w:rsid w:val="00643BE9"/>
    <w:rsid w:val="00652AD3"/>
    <w:rsid w:val="006540CF"/>
    <w:rsid w:val="00656FD5"/>
    <w:rsid w:val="00662857"/>
    <w:rsid w:val="00671841"/>
    <w:rsid w:val="0068401E"/>
    <w:rsid w:val="006906DF"/>
    <w:rsid w:val="006C23B8"/>
    <w:rsid w:val="006D237B"/>
    <w:rsid w:val="006D7681"/>
    <w:rsid w:val="006E1D11"/>
    <w:rsid w:val="006E5067"/>
    <w:rsid w:val="006F2B6F"/>
    <w:rsid w:val="006F773E"/>
    <w:rsid w:val="00700C5A"/>
    <w:rsid w:val="0071083D"/>
    <w:rsid w:val="00715162"/>
    <w:rsid w:val="0072484B"/>
    <w:rsid w:val="007250C1"/>
    <w:rsid w:val="00733FD4"/>
    <w:rsid w:val="00741055"/>
    <w:rsid w:val="0074233D"/>
    <w:rsid w:val="0075004D"/>
    <w:rsid w:val="0075048D"/>
    <w:rsid w:val="007518DC"/>
    <w:rsid w:val="00761EE3"/>
    <w:rsid w:val="00763575"/>
    <w:rsid w:val="00764BFA"/>
    <w:rsid w:val="00764E0D"/>
    <w:rsid w:val="00783A4E"/>
    <w:rsid w:val="00790A6B"/>
    <w:rsid w:val="007930B4"/>
    <w:rsid w:val="007B0845"/>
    <w:rsid w:val="007B10F1"/>
    <w:rsid w:val="007B6826"/>
    <w:rsid w:val="007C248B"/>
    <w:rsid w:val="007C4B5F"/>
    <w:rsid w:val="007C59EF"/>
    <w:rsid w:val="007D0F0F"/>
    <w:rsid w:val="007E5D54"/>
    <w:rsid w:val="007F0A27"/>
    <w:rsid w:val="00807E5D"/>
    <w:rsid w:val="0081628E"/>
    <w:rsid w:val="008162A6"/>
    <w:rsid w:val="0081790C"/>
    <w:rsid w:val="00830D20"/>
    <w:rsid w:val="00836A45"/>
    <w:rsid w:val="008412AC"/>
    <w:rsid w:val="008413C6"/>
    <w:rsid w:val="008461D2"/>
    <w:rsid w:val="00850C3B"/>
    <w:rsid w:val="008528FD"/>
    <w:rsid w:val="0086045B"/>
    <w:rsid w:val="00885766"/>
    <w:rsid w:val="008866BE"/>
    <w:rsid w:val="008910B3"/>
    <w:rsid w:val="0089266E"/>
    <w:rsid w:val="008934BD"/>
    <w:rsid w:val="008956DC"/>
    <w:rsid w:val="008C2E01"/>
    <w:rsid w:val="008D45F0"/>
    <w:rsid w:val="008D77E1"/>
    <w:rsid w:val="008D7B42"/>
    <w:rsid w:val="008D7FED"/>
    <w:rsid w:val="008F1EA7"/>
    <w:rsid w:val="00912362"/>
    <w:rsid w:val="00920903"/>
    <w:rsid w:val="009240ED"/>
    <w:rsid w:val="00931741"/>
    <w:rsid w:val="009438EB"/>
    <w:rsid w:val="009475AC"/>
    <w:rsid w:val="00961D71"/>
    <w:rsid w:val="00964529"/>
    <w:rsid w:val="00974749"/>
    <w:rsid w:val="00981471"/>
    <w:rsid w:val="00997854"/>
    <w:rsid w:val="00997DA5"/>
    <w:rsid w:val="009B2BE8"/>
    <w:rsid w:val="009C028D"/>
    <w:rsid w:val="009C366C"/>
    <w:rsid w:val="009E27A3"/>
    <w:rsid w:val="009F3268"/>
    <w:rsid w:val="00A04A70"/>
    <w:rsid w:val="00A17A57"/>
    <w:rsid w:val="00A22173"/>
    <w:rsid w:val="00A23B90"/>
    <w:rsid w:val="00A26DB1"/>
    <w:rsid w:val="00A3035F"/>
    <w:rsid w:val="00A358F8"/>
    <w:rsid w:val="00A375F5"/>
    <w:rsid w:val="00A4200A"/>
    <w:rsid w:val="00A42AD8"/>
    <w:rsid w:val="00A44740"/>
    <w:rsid w:val="00A46909"/>
    <w:rsid w:val="00A46D8C"/>
    <w:rsid w:val="00A56D1C"/>
    <w:rsid w:val="00A65EFC"/>
    <w:rsid w:val="00A676BC"/>
    <w:rsid w:val="00A74102"/>
    <w:rsid w:val="00A83EE5"/>
    <w:rsid w:val="00A84944"/>
    <w:rsid w:val="00A864C3"/>
    <w:rsid w:val="00A9607B"/>
    <w:rsid w:val="00AB2007"/>
    <w:rsid w:val="00AB646D"/>
    <w:rsid w:val="00AC64CD"/>
    <w:rsid w:val="00AC76E4"/>
    <w:rsid w:val="00AD531C"/>
    <w:rsid w:val="00AE7D79"/>
    <w:rsid w:val="00AF2F8E"/>
    <w:rsid w:val="00AF64D5"/>
    <w:rsid w:val="00B07D03"/>
    <w:rsid w:val="00B10F9C"/>
    <w:rsid w:val="00B12F70"/>
    <w:rsid w:val="00B20C17"/>
    <w:rsid w:val="00B22A98"/>
    <w:rsid w:val="00B23E84"/>
    <w:rsid w:val="00B53A15"/>
    <w:rsid w:val="00B54638"/>
    <w:rsid w:val="00B6415F"/>
    <w:rsid w:val="00B66138"/>
    <w:rsid w:val="00B70381"/>
    <w:rsid w:val="00B82417"/>
    <w:rsid w:val="00BA076F"/>
    <w:rsid w:val="00BC23FC"/>
    <w:rsid w:val="00BD1902"/>
    <w:rsid w:val="00BD6B68"/>
    <w:rsid w:val="00BE0F2B"/>
    <w:rsid w:val="00BE22B7"/>
    <w:rsid w:val="00BE45A4"/>
    <w:rsid w:val="00BE79AD"/>
    <w:rsid w:val="00BF09DC"/>
    <w:rsid w:val="00BF463D"/>
    <w:rsid w:val="00BF542C"/>
    <w:rsid w:val="00C0150E"/>
    <w:rsid w:val="00C13C88"/>
    <w:rsid w:val="00C1428F"/>
    <w:rsid w:val="00C150E7"/>
    <w:rsid w:val="00C21F2A"/>
    <w:rsid w:val="00C2615D"/>
    <w:rsid w:val="00C313CA"/>
    <w:rsid w:val="00C440FE"/>
    <w:rsid w:val="00C44DC1"/>
    <w:rsid w:val="00C6073D"/>
    <w:rsid w:val="00C707AA"/>
    <w:rsid w:val="00C7411D"/>
    <w:rsid w:val="00C74E22"/>
    <w:rsid w:val="00C939B5"/>
    <w:rsid w:val="00CA421C"/>
    <w:rsid w:val="00CA6AC1"/>
    <w:rsid w:val="00CB60B2"/>
    <w:rsid w:val="00CB72A4"/>
    <w:rsid w:val="00CC4E2F"/>
    <w:rsid w:val="00CD2C47"/>
    <w:rsid w:val="00CD7CFD"/>
    <w:rsid w:val="00CE3A4D"/>
    <w:rsid w:val="00CE50AA"/>
    <w:rsid w:val="00CE6D5E"/>
    <w:rsid w:val="00CE78EA"/>
    <w:rsid w:val="00CE7CFD"/>
    <w:rsid w:val="00CF272D"/>
    <w:rsid w:val="00CF7C85"/>
    <w:rsid w:val="00D063CB"/>
    <w:rsid w:val="00D13960"/>
    <w:rsid w:val="00D13F93"/>
    <w:rsid w:val="00D3185D"/>
    <w:rsid w:val="00D416BB"/>
    <w:rsid w:val="00D421BA"/>
    <w:rsid w:val="00D44900"/>
    <w:rsid w:val="00D50D33"/>
    <w:rsid w:val="00D51474"/>
    <w:rsid w:val="00D5650D"/>
    <w:rsid w:val="00D608E7"/>
    <w:rsid w:val="00D72A49"/>
    <w:rsid w:val="00D72CDD"/>
    <w:rsid w:val="00D773D1"/>
    <w:rsid w:val="00D801F2"/>
    <w:rsid w:val="00D81F9E"/>
    <w:rsid w:val="00D84313"/>
    <w:rsid w:val="00D923BB"/>
    <w:rsid w:val="00D95667"/>
    <w:rsid w:val="00D967AC"/>
    <w:rsid w:val="00DA21D7"/>
    <w:rsid w:val="00DA25E3"/>
    <w:rsid w:val="00DA298C"/>
    <w:rsid w:val="00DB1EC1"/>
    <w:rsid w:val="00DD58CC"/>
    <w:rsid w:val="00DE682E"/>
    <w:rsid w:val="00DE6FF0"/>
    <w:rsid w:val="00E057E7"/>
    <w:rsid w:val="00E1475F"/>
    <w:rsid w:val="00E17331"/>
    <w:rsid w:val="00E27215"/>
    <w:rsid w:val="00E27440"/>
    <w:rsid w:val="00E366E5"/>
    <w:rsid w:val="00E3720A"/>
    <w:rsid w:val="00E45162"/>
    <w:rsid w:val="00E55B8C"/>
    <w:rsid w:val="00E62E26"/>
    <w:rsid w:val="00E8326E"/>
    <w:rsid w:val="00E868F4"/>
    <w:rsid w:val="00E90FBB"/>
    <w:rsid w:val="00E91C8F"/>
    <w:rsid w:val="00E94B04"/>
    <w:rsid w:val="00EA0D11"/>
    <w:rsid w:val="00EA6EF8"/>
    <w:rsid w:val="00EB06B7"/>
    <w:rsid w:val="00EC1B88"/>
    <w:rsid w:val="00EC4F42"/>
    <w:rsid w:val="00EC6AAD"/>
    <w:rsid w:val="00ED31AB"/>
    <w:rsid w:val="00ED736D"/>
    <w:rsid w:val="00EF6119"/>
    <w:rsid w:val="00F02F66"/>
    <w:rsid w:val="00F06B77"/>
    <w:rsid w:val="00F11B70"/>
    <w:rsid w:val="00F12E8D"/>
    <w:rsid w:val="00F13D66"/>
    <w:rsid w:val="00F15DED"/>
    <w:rsid w:val="00F27141"/>
    <w:rsid w:val="00F30759"/>
    <w:rsid w:val="00F419D1"/>
    <w:rsid w:val="00F56FEC"/>
    <w:rsid w:val="00F601BC"/>
    <w:rsid w:val="00F62887"/>
    <w:rsid w:val="00F630CF"/>
    <w:rsid w:val="00F67F90"/>
    <w:rsid w:val="00F74ABF"/>
    <w:rsid w:val="00F74FBB"/>
    <w:rsid w:val="00F8055B"/>
    <w:rsid w:val="00F913E8"/>
    <w:rsid w:val="00F92A26"/>
    <w:rsid w:val="00F932DF"/>
    <w:rsid w:val="00FA73F5"/>
    <w:rsid w:val="00FB1026"/>
    <w:rsid w:val="00FB2517"/>
    <w:rsid w:val="00FB3261"/>
    <w:rsid w:val="00FC08D9"/>
    <w:rsid w:val="00FD60AB"/>
    <w:rsid w:val="00FD7D60"/>
    <w:rsid w:val="00FE23E4"/>
    <w:rsid w:val="00FE77DB"/>
    <w:rsid w:val="00FF1D2C"/>
    <w:rsid w:val="00FF50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48930"/>
  <w15:chartTrackingRefBased/>
  <w15:docId w15:val="{F47C9531-73C3-41B8-8F6B-6DB2CC042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13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13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13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13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13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13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13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13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13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13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13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13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13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13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13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13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13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13CA"/>
    <w:rPr>
      <w:rFonts w:eastAsiaTheme="majorEastAsia" w:cstheme="majorBidi"/>
      <w:color w:val="272727" w:themeColor="text1" w:themeTint="D8"/>
    </w:rPr>
  </w:style>
  <w:style w:type="paragraph" w:styleId="Title">
    <w:name w:val="Title"/>
    <w:basedOn w:val="Normal"/>
    <w:next w:val="Normal"/>
    <w:link w:val="TitleChar"/>
    <w:uiPriority w:val="10"/>
    <w:qFormat/>
    <w:rsid w:val="00C313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13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13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13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13CA"/>
    <w:pPr>
      <w:spacing w:before="160"/>
      <w:jc w:val="center"/>
    </w:pPr>
    <w:rPr>
      <w:i/>
      <w:iCs/>
      <w:color w:val="404040" w:themeColor="text1" w:themeTint="BF"/>
    </w:rPr>
  </w:style>
  <w:style w:type="character" w:customStyle="1" w:styleId="QuoteChar">
    <w:name w:val="Quote Char"/>
    <w:basedOn w:val="DefaultParagraphFont"/>
    <w:link w:val="Quote"/>
    <w:uiPriority w:val="29"/>
    <w:rsid w:val="00C313CA"/>
    <w:rPr>
      <w:i/>
      <w:iCs/>
      <w:color w:val="404040" w:themeColor="text1" w:themeTint="BF"/>
    </w:rPr>
  </w:style>
  <w:style w:type="paragraph" w:styleId="ListParagraph">
    <w:name w:val="List Paragraph"/>
    <w:basedOn w:val="Normal"/>
    <w:uiPriority w:val="34"/>
    <w:qFormat/>
    <w:rsid w:val="00C313CA"/>
    <w:pPr>
      <w:ind w:left="720"/>
      <w:contextualSpacing/>
    </w:pPr>
  </w:style>
  <w:style w:type="character" w:styleId="IntenseEmphasis">
    <w:name w:val="Intense Emphasis"/>
    <w:basedOn w:val="DefaultParagraphFont"/>
    <w:uiPriority w:val="21"/>
    <w:qFormat/>
    <w:rsid w:val="00C313CA"/>
    <w:rPr>
      <w:i/>
      <w:iCs/>
      <w:color w:val="0F4761" w:themeColor="accent1" w:themeShade="BF"/>
    </w:rPr>
  </w:style>
  <w:style w:type="paragraph" w:styleId="IntenseQuote">
    <w:name w:val="Intense Quote"/>
    <w:basedOn w:val="Normal"/>
    <w:next w:val="Normal"/>
    <w:link w:val="IntenseQuoteChar"/>
    <w:uiPriority w:val="30"/>
    <w:qFormat/>
    <w:rsid w:val="00C313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13CA"/>
    <w:rPr>
      <w:i/>
      <w:iCs/>
      <w:color w:val="0F4761" w:themeColor="accent1" w:themeShade="BF"/>
    </w:rPr>
  </w:style>
  <w:style w:type="character" w:styleId="IntenseReference">
    <w:name w:val="Intense Reference"/>
    <w:basedOn w:val="DefaultParagraphFont"/>
    <w:uiPriority w:val="32"/>
    <w:qFormat/>
    <w:rsid w:val="00C313CA"/>
    <w:rPr>
      <w:b/>
      <w:bCs/>
      <w:smallCaps/>
      <w:color w:val="0F4761" w:themeColor="accent1" w:themeShade="BF"/>
      <w:spacing w:val="5"/>
    </w:rPr>
  </w:style>
  <w:style w:type="paragraph" w:styleId="Header">
    <w:name w:val="header"/>
    <w:basedOn w:val="Normal"/>
    <w:link w:val="HeaderChar"/>
    <w:uiPriority w:val="99"/>
    <w:unhideWhenUsed/>
    <w:rsid w:val="00C313CA"/>
    <w:pPr>
      <w:tabs>
        <w:tab w:val="center" w:pos="4819"/>
        <w:tab w:val="right" w:pos="9638"/>
      </w:tabs>
      <w:spacing w:after="0" w:line="240" w:lineRule="auto"/>
    </w:pPr>
  </w:style>
  <w:style w:type="character" w:customStyle="1" w:styleId="HeaderChar">
    <w:name w:val="Header Char"/>
    <w:basedOn w:val="DefaultParagraphFont"/>
    <w:link w:val="Header"/>
    <w:uiPriority w:val="99"/>
    <w:rsid w:val="00C313CA"/>
  </w:style>
  <w:style w:type="paragraph" w:styleId="Footer">
    <w:name w:val="footer"/>
    <w:basedOn w:val="Normal"/>
    <w:link w:val="FooterChar"/>
    <w:uiPriority w:val="99"/>
    <w:unhideWhenUsed/>
    <w:rsid w:val="00C313CA"/>
    <w:pPr>
      <w:tabs>
        <w:tab w:val="center" w:pos="4819"/>
        <w:tab w:val="right" w:pos="9638"/>
      </w:tabs>
      <w:spacing w:after="0" w:line="240" w:lineRule="auto"/>
    </w:pPr>
  </w:style>
  <w:style w:type="character" w:customStyle="1" w:styleId="FooterChar">
    <w:name w:val="Footer Char"/>
    <w:basedOn w:val="DefaultParagraphFont"/>
    <w:link w:val="Footer"/>
    <w:uiPriority w:val="99"/>
    <w:rsid w:val="00C313CA"/>
  </w:style>
  <w:style w:type="paragraph" w:styleId="NormalWeb">
    <w:name w:val="Normal (Web)"/>
    <w:basedOn w:val="Normal"/>
    <w:uiPriority w:val="99"/>
    <w:semiHidden/>
    <w:unhideWhenUsed/>
    <w:rsid w:val="00BC23FC"/>
    <w:pPr>
      <w:spacing w:before="100" w:beforeAutospacing="1" w:after="100" w:afterAutospacing="1" w:line="240" w:lineRule="auto"/>
    </w:pPr>
    <w:rPr>
      <w:rFonts w:ascii="Times New Roman" w:eastAsia="Times New Roman" w:hAnsi="Times New Roman" w:cs="Times New Roman"/>
      <w:kern w:val="0"/>
      <w:sz w:val="24"/>
      <w:szCs w:val="24"/>
      <w:lang w:val="en-GB" w:eastAsia="en-GB"/>
      <w14:ligatures w14:val="none"/>
    </w:rPr>
  </w:style>
  <w:style w:type="character" w:styleId="Strong">
    <w:name w:val="Strong"/>
    <w:basedOn w:val="DefaultParagraphFont"/>
    <w:uiPriority w:val="22"/>
    <w:qFormat/>
    <w:rsid w:val="00BC23FC"/>
    <w:rPr>
      <w:b/>
      <w:bCs/>
    </w:rPr>
  </w:style>
  <w:style w:type="character" w:styleId="Hyperlink">
    <w:name w:val="Hyperlink"/>
    <w:rsid w:val="00012187"/>
    <w:rPr>
      <w:color w:val="0000FF"/>
      <w:u w:val="single"/>
    </w:rPr>
  </w:style>
  <w:style w:type="paragraph" w:styleId="Revision">
    <w:name w:val="Revision"/>
    <w:hidden/>
    <w:uiPriority w:val="99"/>
    <w:semiHidden/>
    <w:rsid w:val="00AF2F8E"/>
    <w:pPr>
      <w:spacing w:after="0" w:line="240" w:lineRule="auto"/>
    </w:pPr>
  </w:style>
  <w:style w:type="character" w:styleId="UnresolvedMention">
    <w:name w:val="Unresolved Mention"/>
    <w:basedOn w:val="DefaultParagraphFont"/>
    <w:uiPriority w:val="99"/>
    <w:semiHidden/>
    <w:unhideWhenUsed/>
    <w:rsid w:val="00A26D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318267">
      <w:bodyDiv w:val="1"/>
      <w:marLeft w:val="0"/>
      <w:marRight w:val="0"/>
      <w:marTop w:val="0"/>
      <w:marBottom w:val="0"/>
      <w:divBdr>
        <w:top w:val="none" w:sz="0" w:space="0" w:color="auto"/>
        <w:left w:val="none" w:sz="0" w:space="0" w:color="auto"/>
        <w:bottom w:val="none" w:sz="0" w:space="0" w:color="auto"/>
        <w:right w:val="none" w:sz="0" w:space="0" w:color="auto"/>
      </w:divBdr>
    </w:div>
    <w:div w:id="206382329">
      <w:bodyDiv w:val="1"/>
      <w:marLeft w:val="0"/>
      <w:marRight w:val="0"/>
      <w:marTop w:val="0"/>
      <w:marBottom w:val="0"/>
      <w:divBdr>
        <w:top w:val="none" w:sz="0" w:space="0" w:color="auto"/>
        <w:left w:val="none" w:sz="0" w:space="0" w:color="auto"/>
        <w:bottom w:val="none" w:sz="0" w:space="0" w:color="auto"/>
        <w:right w:val="none" w:sz="0" w:space="0" w:color="auto"/>
      </w:divBdr>
      <w:divsChild>
        <w:div w:id="964047222">
          <w:marLeft w:val="0"/>
          <w:marRight w:val="0"/>
          <w:marTop w:val="0"/>
          <w:marBottom w:val="0"/>
          <w:divBdr>
            <w:top w:val="none" w:sz="0" w:space="0" w:color="auto"/>
            <w:left w:val="none" w:sz="0" w:space="0" w:color="auto"/>
            <w:bottom w:val="none" w:sz="0" w:space="0" w:color="auto"/>
            <w:right w:val="none" w:sz="0" w:space="0" w:color="auto"/>
          </w:divBdr>
          <w:divsChild>
            <w:div w:id="202448683">
              <w:marLeft w:val="0"/>
              <w:marRight w:val="0"/>
              <w:marTop w:val="0"/>
              <w:marBottom w:val="0"/>
              <w:divBdr>
                <w:top w:val="none" w:sz="0" w:space="0" w:color="auto"/>
                <w:left w:val="none" w:sz="0" w:space="0" w:color="auto"/>
                <w:bottom w:val="none" w:sz="0" w:space="0" w:color="auto"/>
                <w:right w:val="none" w:sz="0" w:space="0" w:color="auto"/>
              </w:divBdr>
              <w:divsChild>
                <w:div w:id="751777996">
                  <w:marLeft w:val="0"/>
                  <w:marRight w:val="0"/>
                  <w:marTop w:val="0"/>
                  <w:marBottom w:val="0"/>
                  <w:divBdr>
                    <w:top w:val="none" w:sz="0" w:space="0" w:color="auto"/>
                    <w:left w:val="none" w:sz="0" w:space="0" w:color="auto"/>
                    <w:bottom w:val="none" w:sz="0" w:space="0" w:color="auto"/>
                    <w:right w:val="none" w:sz="0" w:space="0" w:color="auto"/>
                  </w:divBdr>
                  <w:divsChild>
                    <w:div w:id="287011442">
                      <w:marLeft w:val="0"/>
                      <w:marRight w:val="0"/>
                      <w:marTop w:val="0"/>
                      <w:marBottom w:val="0"/>
                      <w:divBdr>
                        <w:top w:val="none" w:sz="0" w:space="0" w:color="auto"/>
                        <w:left w:val="none" w:sz="0" w:space="0" w:color="auto"/>
                        <w:bottom w:val="none" w:sz="0" w:space="0" w:color="auto"/>
                        <w:right w:val="none" w:sz="0" w:space="0" w:color="auto"/>
                      </w:divBdr>
                      <w:divsChild>
                        <w:div w:id="575896535">
                          <w:marLeft w:val="0"/>
                          <w:marRight w:val="0"/>
                          <w:marTop w:val="0"/>
                          <w:marBottom w:val="0"/>
                          <w:divBdr>
                            <w:top w:val="none" w:sz="0" w:space="0" w:color="auto"/>
                            <w:left w:val="none" w:sz="0" w:space="0" w:color="auto"/>
                            <w:bottom w:val="none" w:sz="0" w:space="0" w:color="auto"/>
                            <w:right w:val="none" w:sz="0" w:space="0" w:color="auto"/>
                          </w:divBdr>
                          <w:divsChild>
                            <w:div w:id="984505064">
                              <w:marLeft w:val="0"/>
                              <w:marRight w:val="0"/>
                              <w:marTop w:val="0"/>
                              <w:marBottom w:val="0"/>
                              <w:divBdr>
                                <w:top w:val="none" w:sz="0" w:space="0" w:color="auto"/>
                                <w:left w:val="none" w:sz="0" w:space="0" w:color="auto"/>
                                <w:bottom w:val="none" w:sz="0" w:space="0" w:color="auto"/>
                                <w:right w:val="none" w:sz="0" w:space="0" w:color="auto"/>
                              </w:divBdr>
                              <w:divsChild>
                                <w:div w:id="2359658">
                                  <w:marLeft w:val="0"/>
                                  <w:marRight w:val="0"/>
                                  <w:marTop w:val="0"/>
                                  <w:marBottom w:val="0"/>
                                  <w:divBdr>
                                    <w:top w:val="none" w:sz="0" w:space="0" w:color="auto"/>
                                    <w:left w:val="none" w:sz="0" w:space="0" w:color="auto"/>
                                    <w:bottom w:val="none" w:sz="0" w:space="0" w:color="auto"/>
                                    <w:right w:val="none" w:sz="0" w:space="0" w:color="auto"/>
                                  </w:divBdr>
                                  <w:divsChild>
                                    <w:div w:id="981888751">
                                      <w:marLeft w:val="0"/>
                                      <w:marRight w:val="0"/>
                                      <w:marTop w:val="0"/>
                                      <w:marBottom w:val="0"/>
                                      <w:divBdr>
                                        <w:top w:val="none" w:sz="0" w:space="0" w:color="auto"/>
                                        <w:left w:val="none" w:sz="0" w:space="0" w:color="auto"/>
                                        <w:bottom w:val="none" w:sz="0" w:space="0" w:color="auto"/>
                                        <w:right w:val="none" w:sz="0" w:space="0" w:color="auto"/>
                                      </w:divBdr>
                                      <w:divsChild>
                                        <w:div w:id="100474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81498284">
      <w:bodyDiv w:val="1"/>
      <w:marLeft w:val="0"/>
      <w:marRight w:val="0"/>
      <w:marTop w:val="0"/>
      <w:marBottom w:val="0"/>
      <w:divBdr>
        <w:top w:val="none" w:sz="0" w:space="0" w:color="auto"/>
        <w:left w:val="none" w:sz="0" w:space="0" w:color="auto"/>
        <w:bottom w:val="none" w:sz="0" w:space="0" w:color="auto"/>
        <w:right w:val="none" w:sz="0" w:space="0" w:color="auto"/>
      </w:divBdr>
    </w:div>
    <w:div w:id="372460789">
      <w:bodyDiv w:val="1"/>
      <w:marLeft w:val="0"/>
      <w:marRight w:val="0"/>
      <w:marTop w:val="0"/>
      <w:marBottom w:val="0"/>
      <w:divBdr>
        <w:top w:val="none" w:sz="0" w:space="0" w:color="auto"/>
        <w:left w:val="none" w:sz="0" w:space="0" w:color="auto"/>
        <w:bottom w:val="none" w:sz="0" w:space="0" w:color="auto"/>
        <w:right w:val="none" w:sz="0" w:space="0" w:color="auto"/>
      </w:divBdr>
      <w:divsChild>
        <w:div w:id="1028338075">
          <w:marLeft w:val="0"/>
          <w:marRight w:val="0"/>
          <w:marTop w:val="0"/>
          <w:marBottom w:val="0"/>
          <w:divBdr>
            <w:top w:val="none" w:sz="0" w:space="0" w:color="auto"/>
            <w:left w:val="none" w:sz="0" w:space="0" w:color="auto"/>
            <w:bottom w:val="none" w:sz="0" w:space="0" w:color="auto"/>
            <w:right w:val="none" w:sz="0" w:space="0" w:color="auto"/>
          </w:divBdr>
          <w:divsChild>
            <w:div w:id="1993293867">
              <w:marLeft w:val="0"/>
              <w:marRight w:val="0"/>
              <w:marTop w:val="0"/>
              <w:marBottom w:val="0"/>
              <w:divBdr>
                <w:top w:val="none" w:sz="0" w:space="0" w:color="auto"/>
                <w:left w:val="none" w:sz="0" w:space="0" w:color="auto"/>
                <w:bottom w:val="none" w:sz="0" w:space="0" w:color="auto"/>
                <w:right w:val="none" w:sz="0" w:space="0" w:color="auto"/>
              </w:divBdr>
              <w:divsChild>
                <w:div w:id="176236536">
                  <w:marLeft w:val="0"/>
                  <w:marRight w:val="0"/>
                  <w:marTop w:val="0"/>
                  <w:marBottom w:val="0"/>
                  <w:divBdr>
                    <w:top w:val="none" w:sz="0" w:space="0" w:color="auto"/>
                    <w:left w:val="none" w:sz="0" w:space="0" w:color="auto"/>
                    <w:bottom w:val="none" w:sz="0" w:space="0" w:color="auto"/>
                    <w:right w:val="none" w:sz="0" w:space="0" w:color="auto"/>
                  </w:divBdr>
                  <w:divsChild>
                    <w:div w:id="1307854917">
                      <w:marLeft w:val="0"/>
                      <w:marRight w:val="0"/>
                      <w:marTop w:val="0"/>
                      <w:marBottom w:val="0"/>
                      <w:divBdr>
                        <w:top w:val="none" w:sz="0" w:space="0" w:color="auto"/>
                        <w:left w:val="none" w:sz="0" w:space="0" w:color="auto"/>
                        <w:bottom w:val="none" w:sz="0" w:space="0" w:color="auto"/>
                        <w:right w:val="none" w:sz="0" w:space="0" w:color="auto"/>
                      </w:divBdr>
                      <w:divsChild>
                        <w:div w:id="1095901582">
                          <w:marLeft w:val="0"/>
                          <w:marRight w:val="0"/>
                          <w:marTop w:val="0"/>
                          <w:marBottom w:val="0"/>
                          <w:divBdr>
                            <w:top w:val="none" w:sz="0" w:space="0" w:color="auto"/>
                            <w:left w:val="none" w:sz="0" w:space="0" w:color="auto"/>
                            <w:bottom w:val="none" w:sz="0" w:space="0" w:color="auto"/>
                            <w:right w:val="none" w:sz="0" w:space="0" w:color="auto"/>
                          </w:divBdr>
                          <w:divsChild>
                            <w:div w:id="299455245">
                              <w:marLeft w:val="0"/>
                              <w:marRight w:val="0"/>
                              <w:marTop w:val="0"/>
                              <w:marBottom w:val="0"/>
                              <w:divBdr>
                                <w:top w:val="none" w:sz="0" w:space="0" w:color="auto"/>
                                <w:left w:val="none" w:sz="0" w:space="0" w:color="auto"/>
                                <w:bottom w:val="none" w:sz="0" w:space="0" w:color="auto"/>
                                <w:right w:val="none" w:sz="0" w:space="0" w:color="auto"/>
                              </w:divBdr>
                              <w:divsChild>
                                <w:div w:id="1850749405">
                                  <w:marLeft w:val="0"/>
                                  <w:marRight w:val="0"/>
                                  <w:marTop w:val="0"/>
                                  <w:marBottom w:val="0"/>
                                  <w:divBdr>
                                    <w:top w:val="none" w:sz="0" w:space="0" w:color="auto"/>
                                    <w:left w:val="none" w:sz="0" w:space="0" w:color="auto"/>
                                    <w:bottom w:val="none" w:sz="0" w:space="0" w:color="auto"/>
                                    <w:right w:val="none" w:sz="0" w:space="0" w:color="auto"/>
                                  </w:divBdr>
                                  <w:divsChild>
                                    <w:div w:id="141354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3576614">
      <w:bodyDiv w:val="1"/>
      <w:marLeft w:val="0"/>
      <w:marRight w:val="0"/>
      <w:marTop w:val="0"/>
      <w:marBottom w:val="0"/>
      <w:divBdr>
        <w:top w:val="none" w:sz="0" w:space="0" w:color="auto"/>
        <w:left w:val="none" w:sz="0" w:space="0" w:color="auto"/>
        <w:bottom w:val="none" w:sz="0" w:space="0" w:color="auto"/>
        <w:right w:val="none" w:sz="0" w:space="0" w:color="auto"/>
      </w:divBdr>
      <w:divsChild>
        <w:div w:id="505053033">
          <w:marLeft w:val="0"/>
          <w:marRight w:val="0"/>
          <w:marTop w:val="0"/>
          <w:marBottom w:val="0"/>
          <w:divBdr>
            <w:top w:val="none" w:sz="0" w:space="0" w:color="auto"/>
            <w:left w:val="none" w:sz="0" w:space="0" w:color="auto"/>
            <w:bottom w:val="none" w:sz="0" w:space="0" w:color="auto"/>
            <w:right w:val="none" w:sz="0" w:space="0" w:color="auto"/>
          </w:divBdr>
          <w:divsChild>
            <w:div w:id="733697404">
              <w:marLeft w:val="0"/>
              <w:marRight w:val="0"/>
              <w:marTop w:val="0"/>
              <w:marBottom w:val="0"/>
              <w:divBdr>
                <w:top w:val="none" w:sz="0" w:space="0" w:color="auto"/>
                <w:left w:val="none" w:sz="0" w:space="0" w:color="auto"/>
                <w:bottom w:val="none" w:sz="0" w:space="0" w:color="auto"/>
                <w:right w:val="none" w:sz="0" w:space="0" w:color="auto"/>
              </w:divBdr>
              <w:divsChild>
                <w:div w:id="717582458">
                  <w:marLeft w:val="0"/>
                  <w:marRight w:val="0"/>
                  <w:marTop w:val="0"/>
                  <w:marBottom w:val="0"/>
                  <w:divBdr>
                    <w:top w:val="none" w:sz="0" w:space="0" w:color="auto"/>
                    <w:left w:val="none" w:sz="0" w:space="0" w:color="auto"/>
                    <w:bottom w:val="none" w:sz="0" w:space="0" w:color="auto"/>
                    <w:right w:val="none" w:sz="0" w:space="0" w:color="auto"/>
                  </w:divBdr>
                  <w:divsChild>
                    <w:div w:id="665792219">
                      <w:marLeft w:val="0"/>
                      <w:marRight w:val="0"/>
                      <w:marTop w:val="0"/>
                      <w:marBottom w:val="0"/>
                      <w:divBdr>
                        <w:top w:val="none" w:sz="0" w:space="0" w:color="auto"/>
                        <w:left w:val="none" w:sz="0" w:space="0" w:color="auto"/>
                        <w:bottom w:val="none" w:sz="0" w:space="0" w:color="auto"/>
                        <w:right w:val="none" w:sz="0" w:space="0" w:color="auto"/>
                      </w:divBdr>
                      <w:divsChild>
                        <w:div w:id="637417270">
                          <w:marLeft w:val="0"/>
                          <w:marRight w:val="0"/>
                          <w:marTop w:val="0"/>
                          <w:marBottom w:val="0"/>
                          <w:divBdr>
                            <w:top w:val="none" w:sz="0" w:space="0" w:color="auto"/>
                            <w:left w:val="none" w:sz="0" w:space="0" w:color="auto"/>
                            <w:bottom w:val="none" w:sz="0" w:space="0" w:color="auto"/>
                            <w:right w:val="none" w:sz="0" w:space="0" w:color="auto"/>
                          </w:divBdr>
                          <w:divsChild>
                            <w:div w:id="1951083194">
                              <w:marLeft w:val="0"/>
                              <w:marRight w:val="0"/>
                              <w:marTop w:val="0"/>
                              <w:marBottom w:val="0"/>
                              <w:divBdr>
                                <w:top w:val="none" w:sz="0" w:space="0" w:color="auto"/>
                                <w:left w:val="none" w:sz="0" w:space="0" w:color="auto"/>
                                <w:bottom w:val="none" w:sz="0" w:space="0" w:color="auto"/>
                                <w:right w:val="none" w:sz="0" w:space="0" w:color="auto"/>
                              </w:divBdr>
                              <w:divsChild>
                                <w:div w:id="507017284">
                                  <w:marLeft w:val="0"/>
                                  <w:marRight w:val="0"/>
                                  <w:marTop w:val="0"/>
                                  <w:marBottom w:val="0"/>
                                  <w:divBdr>
                                    <w:top w:val="none" w:sz="0" w:space="0" w:color="auto"/>
                                    <w:left w:val="none" w:sz="0" w:space="0" w:color="auto"/>
                                    <w:bottom w:val="none" w:sz="0" w:space="0" w:color="auto"/>
                                    <w:right w:val="none" w:sz="0" w:space="0" w:color="auto"/>
                                  </w:divBdr>
                                  <w:divsChild>
                                    <w:div w:id="211432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8308216">
      <w:bodyDiv w:val="1"/>
      <w:marLeft w:val="0"/>
      <w:marRight w:val="0"/>
      <w:marTop w:val="0"/>
      <w:marBottom w:val="0"/>
      <w:divBdr>
        <w:top w:val="none" w:sz="0" w:space="0" w:color="auto"/>
        <w:left w:val="none" w:sz="0" w:space="0" w:color="auto"/>
        <w:bottom w:val="none" w:sz="0" w:space="0" w:color="auto"/>
        <w:right w:val="none" w:sz="0" w:space="0" w:color="auto"/>
      </w:divBdr>
    </w:div>
    <w:div w:id="763956407">
      <w:bodyDiv w:val="1"/>
      <w:marLeft w:val="0"/>
      <w:marRight w:val="0"/>
      <w:marTop w:val="0"/>
      <w:marBottom w:val="0"/>
      <w:divBdr>
        <w:top w:val="none" w:sz="0" w:space="0" w:color="auto"/>
        <w:left w:val="none" w:sz="0" w:space="0" w:color="auto"/>
        <w:bottom w:val="none" w:sz="0" w:space="0" w:color="auto"/>
        <w:right w:val="none" w:sz="0" w:space="0" w:color="auto"/>
      </w:divBdr>
    </w:div>
    <w:div w:id="1448084716">
      <w:bodyDiv w:val="1"/>
      <w:marLeft w:val="0"/>
      <w:marRight w:val="0"/>
      <w:marTop w:val="0"/>
      <w:marBottom w:val="0"/>
      <w:divBdr>
        <w:top w:val="none" w:sz="0" w:space="0" w:color="auto"/>
        <w:left w:val="none" w:sz="0" w:space="0" w:color="auto"/>
        <w:bottom w:val="none" w:sz="0" w:space="0" w:color="auto"/>
        <w:right w:val="none" w:sz="0" w:space="0" w:color="auto"/>
      </w:divBdr>
    </w:div>
    <w:div w:id="1478915957">
      <w:bodyDiv w:val="1"/>
      <w:marLeft w:val="0"/>
      <w:marRight w:val="0"/>
      <w:marTop w:val="0"/>
      <w:marBottom w:val="0"/>
      <w:divBdr>
        <w:top w:val="none" w:sz="0" w:space="0" w:color="auto"/>
        <w:left w:val="none" w:sz="0" w:space="0" w:color="auto"/>
        <w:bottom w:val="none" w:sz="0" w:space="0" w:color="auto"/>
        <w:right w:val="none" w:sz="0" w:space="0" w:color="auto"/>
      </w:divBdr>
      <w:divsChild>
        <w:div w:id="766655681">
          <w:marLeft w:val="0"/>
          <w:marRight w:val="0"/>
          <w:marTop w:val="0"/>
          <w:marBottom w:val="0"/>
          <w:divBdr>
            <w:top w:val="none" w:sz="0" w:space="0" w:color="auto"/>
            <w:left w:val="none" w:sz="0" w:space="0" w:color="auto"/>
            <w:bottom w:val="none" w:sz="0" w:space="0" w:color="auto"/>
            <w:right w:val="none" w:sz="0" w:space="0" w:color="auto"/>
          </w:divBdr>
        </w:div>
      </w:divsChild>
    </w:div>
    <w:div w:id="1636905603">
      <w:bodyDiv w:val="1"/>
      <w:marLeft w:val="0"/>
      <w:marRight w:val="0"/>
      <w:marTop w:val="0"/>
      <w:marBottom w:val="0"/>
      <w:divBdr>
        <w:top w:val="none" w:sz="0" w:space="0" w:color="auto"/>
        <w:left w:val="none" w:sz="0" w:space="0" w:color="auto"/>
        <w:bottom w:val="none" w:sz="0" w:space="0" w:color="auto"/>
        <w:right w:val="none" w:sz="0" w:space="0" w:color="auto"/>
      </w:divBdr>
      <w:divsChild>
        <w:div w:id="1866358059">
          <w:marLeft w:val="0"/>
          <w:marRight w:val="0"/>
          <w:marTop w:val="0"/>
          <w:marBottom w:val="0"/>
          <w:divBdr>
            <w:top w:val="none" w:sz="0" w:space="0" w:color="auto"/>
            <w:left w:val="none" w:sz="0" w:space="0" w:color="auto"/>
            <w:bottom w:val="none" w:sz="0" w:space="0" w:color="auto"/>
            <w:right w:val="none" w:sz="0" w:space="0" w:color="auto"/>
          </w:divBdr>
          <w:divsChild>
            <w:div w:id="603347427">
              <w:marLeft w:val="0"/>
              <w:marRight w:val="0"/>
              <w:marTop w:val="0"/>
              <w:marBottom w:val="0"/>
              <w:divBdr>
                <w:top w:val="none" w:sz="0" w:space="0" w:color="auto"/>
                <w:left w:val="none" w:sz="0" w:space="0" w:color="auto"/>
                <w:bottom w:val="none" w:sz="0" w:space="0" w:color="auto"/>
                <w:right w:val="none" w:sz="0" w:space="0" w:color="auto"/>
              </w:divBdr>
              <w:divsChild>
                <w:div w:id="1817452107">
                  <w:marLeft w:val="0"/>
                  <w:marRight w:val="0"/>
                  <w:marTop w:val="0"/>
                  <w:marBottom w:val="0"/>
                  <w:divBdr>
                    <w:top w:val="none" w:sz="0" w:space="0" w:color="auto"/>
                    <w:left w:val="none" w:sz="0" w:space="0" w:color="auto"/>
                    <w:bottom w:val="none" w:sz="0" w:space="0" w:color="auto"/>
                    <w:right w:val="none" w:sz="0" w:space="0" w:color="auto"/>
                  </w:divBdr>
                  <w:divsChild>
                    <w:div w:id="500514122">
                      <w:marLeft w:val="0"/>
                      <w:marRight w:val="0"/>
                      <w:marTop w:val="0"/>
                      <w:marBottom w:val="0"/>
                      <w:divBdr>
                        <w:top w:val="none" w:sz="0" w:space="0" w:color="auto"/>
                        <w:left w:val="none" w:sz="0" w:space="0" w:color="auto"/>
                        <w:bottom w:val="none" w:sz="0" w:space="0" w:color="auto"/>
                        <w:right w:val="none" w:sz="0" w:space="0" w:color="auto"/>
                      </w:divBdr>
                      <w:divsChild>
                        <w:div w:id="903567854">
                          <w:marLeft w:val="0"/>
                          <w:marRight w:val="0"/>
                          <w:marTop w:val="0"/>
                          <w:marBottom w:val="0"/>
                          <w:divBdr>
                            <w:top w:val="none" w:sz="0" w:space="0" w:color="auto"/>
                            <w:left w:val="none" w:sz="0" w:space="0" w:color="auto"/>
                            <w:bottom w:val="none" w:sz="0" w:space="0" w:color="auto"/>
                            <w:right w:val="none" w:sz="0" w:space="0" w:color="auto"/>
                          </w:divBdr>
                          <w:divsChild>
                            <w:div w:id="633681051">
                              <w:marLeft w:val="0"/>
                              <w:marRight w:val="0"/>
                              <w:marTop w:val="0"/>
                              <w:marBottom w:val="0"/>
                              <w:divBdr>
                                <w:top w:val="none" w:sz="0" w:space="0" w:color="auto"/>
                                <w:left w:val="none" w:sz="0" w:space="0" w:color="auto"/>
                                <w:bottom w:val="none" w:sz="0" w:space="0" w:color="auto"/>
                                <w:right w:val="none" w:sz="0" w:space="0" w:color="auto"/>
                              </w:divBdr>
                              <w:divsChild>
                                <w:div w:id="47075498">
                                  <w:marLeft w:val="0"/>
                                  <w:marRight w:val="0"/>
                                  <w:marTop w:val="0"/>
                                  <w:marBottom w:val="0"/>
                                  <w:divBdr>
                                    <w:top w:val="none" w:sz="0" w:space="0" w:color="auto"/>
                                    <w:left w:val="none" w:sz="0" w:space="0" w:color="auto"/>
                                    <w:bottom w:val="none" w:sz="0" w:space="0" w:color="auto"/>
                                    <w:right w:val="none" w:sz="0" w:space="0" w:color="auto"/>
                                  </w:divBdr>
                                  <w:divsChild>
                                    <w:div w:id="986545714">
                                      <w:marLeft w:val="0"/>
                                      <w:marRight w:val="0"/>
                                      <w:marTop w:val="0"/>
                                      <w:marBottom w:val="0"/>
                                      <w:divBdr>
                                        <w:top w:val="none" w:sz="0" w:space="0" w:color="auto"/>
                                        <w:left w:val="none" w:sz="0" w:space="0" w:color="auto"/>
                                        <w:bottom w:val="none" w:sz="0" w:space="0" w:color="auto"/>
                                        <w:right w:val="none" w:sz="0" w:space="0" w:color="auto"/>
                                      </w:divBdr>
                                      <w:divsChild>
                                        <w:div w:id="194630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4910889">
      <w:bodyDiv w:val="1"/>
      <w:marLeft w:val="0"/>
      <w:marRight w:val="0"/>
      <w:marTop w:val="0"/>
      <w:marBottom w:val="0"/>
      <w:divBdr>
        <w:top w:val="none" w:sz="0" w:space="0" w:color="auto"/>
        <w:left w:val="none" w:sz="0" w:space="0" w:color="auto"/>
        <w:bottom w:val="none" w:sz="0" w:space="0" w:color="auto"/>
        <w:right w:val="none" w:sz="0" w:space="0" w:color="auto"/>
      </w:divBdr>
    </w:div>
    <w:div w:id="1698264837">
      <w:bodyDiv w:val="1"/>
      <w:marLeft w:val="0"/>
      <w:marRight w:val="0"/>
      <w:marTop w:val="0"/>
      <w:marBottom w:val="0"/>
      <w:divBdr>
        <w:top w:val="none" w:sz="0" w:space="0" w:color="auto"/>
        <w:left w:val="none" w:sz="0" w:space="0" w:color="auto"/>
        <w:bottom w:val="none" w:sz="0" w:space="0" w:color="auto"/>
        <w:right w:val="none" w:sz="0" w:space="0" w:color="auto"/>
      </w:divBdr>
      <w:divsChild>
        <w:div w:id="136147291">
          <w:marLeft w:val="0"/>
          <w:marRight w:val="0"/>
          <w:marTop w:val="0"/>
          <w:marBottom w:val="0"/>
          <w:divBdr>
            <w:top w:val="none" w:sz="0" w:space="0" w:color="auto"/>
            <w:left w:val="none" w:sz="0" w:space="0" w:color="auto"/>
            <w:bottom w:val="none" w:sz="0" w:space="0" w:color="auto"/>
            <w:right w:val="none" w:sz="0" w:space="0" w:color="auto"/>
          </w:divBdr>
        </w:div>
      </w:divsChild>
    </w:div>
    <w:div w:id="1700542590">
      <w:bodyDiv w:val="1"/>
      <w:marLeft w:val="0"/>
      <w:marRight w:val="0"/>
      <w:marTop w:val="0"/>
      <w:marBottom w:val="0"/>
      <w:divBdr>
        <w:top w:val="none" w:sz="0" w:space="0" w:color="auto"/>
        <w:left w:val="none" w:sz="0" w:space="0" w:color="auto"/>
        <w:bottom w:val="none" w:sz="0" w:space="0" w:color="auto"/>
        <w:right w:val="none" w:sz="0" w:space="0" w:color="auto"/>
      </w:divBdr>
    </w:div>
    <w:div w:id="1769884325">
      <w:bodyDiv w:val="1"/>
      <w:marLeft w:val="0"/>
      <w:marRight w:val="0"/>
      <w:marTop w:val="0"/>
      <w:marBottom w:val="0"/>
      <w:divBdr>
        <w:top w:val="none" w:sz="0" w:space="0" w:color="auto"/>
        <w:left w:val="none" w:sz="0" w:space="0" w:color="auto"/>
        <w:bottom w:val="none" w:sz="0" w:space="0" w:color="auto"/>
        <w:right w:val="none" w:sz="0" w:space="0" w:color="auto"/>
      </w:divBdr>
      <w:divsChild>
        <w:div w:id="28846456">
          <w:marLeft w:val="0"/>
          <w:marRight w:val="0"/>
          <w:marTop w:val="0"/>
          <w:marBottom w:val="0"/>
          <w:divBdr>
            <w:top w:val="none" w:sz="0" w:space="0" w:color="auto"/>
            <w:left w:val="none" w:sz="0" w:space="0" w:color="auto"/>
            <w:bottom w:val="none" w:sz="0" w:space="0" w:color="auto"/>
            <w:right w:val="none" w:sz="0" w:space="0" w:color="auto"/>
          </w:divBdr>
        </w:div>
      </w:divsChild>
    </w:div>
    <w:div w:id="1771773588">
      <w:bodyDiv w:val="1"/>
      <w:marLeft w:val="0"/>
      <w:marRight w:val="0"/>
      <w:marTop w:val="0"/>
      <w:marBottom w:val="0"/>
      <w:divBdr>
        <w:top w:val="none" w:sz="0" w:space="0" w:color="auto"/>
        <w:left w:val="none" w:sz="0" w:space="0" w:color="auto"/>
        <w:bottom w:val="none" w:sz="0" w:space="0" w:color="auto"/>
        <w:right w:val="none" w:sz="0" w:space="0" w:color="auto"/>
      </w:divBdr>
      <w:divsChild>
        <w:div w:id="714696077">
          <w:marLeft w:val="0"/>
          <w:marRight w:val="0"/>
          <w:marTop w:val="0"/>
          <w:marBottom w:val="0"/>
          <w:divBdr>
            <w:top w:val="none" w:sz="0" w:space="0" w:color="auto"/>
            <w:left w:val="none" w:sz="0" w:space="0" w:color="auto"/>
            <w:bottom w:val="none" w:sz="0" w:space="0" w:color="auto"/>
            <w:right w:val="none" w:sz="0" w:space="0" w:color="auto"/>
          </w:divBdr>
        </w:div>
      </w:divsChild>
    </w:div>
    <w:div w:id="1791127710">
      <w:bodyDiv w:val="1"/>
      <w:marLeft w:val="0"/>
      <w:marRight w:val="0"/>
      <w:marTop w:val="0"/>
      <w:marBottom w:val="0"/>
      <w:divBdr>
        <w:top w:val="none" w:sz="0" w:space="0" w:color="auto"/>
        <w:left w:val="none" w:sz="0" w:space="0" w:color="auto"/>
        <w:bottom w:val="none" w:sz="0" w:space="0" w:color="auto"/>
        <w:right w:val="none" w:sz="0" w:space="0" w:color="auto"/>
      </w:divBdr>
      <w:divsChild>
        <w:div w:id="1732193653">
          <w:marLeft w:val="0"/>
          <w:marRight w:val="0"/>
          <w:marTop w:val="0"/>
          <w:marBottom w:val="0"/>
          <w:divBdr>
            <w:top w:val="none" w:sz="0" w:space="0" w:color="auto"/>
            <w:left w:val="none" w:sz="0" w:space="0" w:color="auto"/>
            <w:bottom w:val="none" w:sz="0" w:space="0" w:color="auto"/>
            <w:right w:val="none" w:sz="0" w:space="0" w:color="auto"/>
          </w:divBdr>
          <w:divsChild>
            <w:div w:id="1296526042">
              <w:marLeft w:val="0"/>
              <w:marRight w:val="0"/>
              <w:marTop w:val="0"/>
              <w:marBottom w:val="0"/>
              <w:divBdr>
                <w:top w:val="none" w:sz="0" w:space="0" w:color="auto"/>
                <w:left w:val="none" w:sz="0" w:space="0" w:color="auto"/>
                <w:bottom w:val="none" w:sz="0" w:space="0" w:color="auto"/>
                <w:right w:val="none" w:sz="0" w:space="0" w:color="auto"/>
              </w:divBdr>
              <w:divsChild>
                <w:div w:id="1127502529">
                  <w:marLeft w:val="0"/>
                  <w:marRight w:val="0"/>
                  <w:marTop w:val="0"/>
                  <w:marBottom w:val="0"/>
                  <w:divBdr>
                    <w:top w:val="none" w:sz="0" w:space="0" w:color="auto"/>
                    <w:left w:val="none" w:sz="0" w:space="0" w:color="auto"/>
                    <w:bottom w:val="none" w:sz="0" w:space="0" w:color="auto"/>
                    <w:right w:val="none" w:sz="0" w:space="0" w:color="auto"/>
                  </w:divBdr>
                  <w:divsChild>
                    <w:div w:id="1367827731">
                      <w:marLeft w:val="0"/>
                      <w:marRight w:val="0"/>
                      <w:marTop w:val="0"/>
                      <w:marBottom w:val="0"/>
                      <w:divBdr>
                        <w:top w:val="none" w:sz="0" w:space="0" w:color="auto"/>
                        <w:left w:val="none" w:sz="0" w:space="0" w:color="auto"/>
                        <w:bottom w:val="none" w:sz="0" w:space="0" w:color="auto"/>
                        <w:right w:val="none" w:sz="0" w:space="0" w:color="auto"/>
                      </w:divBdr>
                      <w:divsChild>
                        <w:div w:id="488791155">
                          <w:marLeft w:val="0"/>
                          <w:marRight w:val="0"/>
                          <w:marTop w:val="0"/>
                          <w:marBottom w:val="0"/>
                          <w:divBdr>
                            <w:top w:val="none" w:sz="0" w:space="0" w:color="auto"/>
                            <w:left w:val="none" w:sz="0" w:space="0" w:color="auto"/>
                            <w:bottom w:val="none" w:sz="0" w:space="0" w:color="auto"/>
                            <w:right w:val="none" w:sz="0" w:space="0" w:color="auto"/>
                          </w:divBdr>
                          <w:divsChild>
                            <w:div w:id="653025638">
                              <w:marLeft w:val="0"/>
                              <w:marRight w:val="0"/>
                              <w:marTop w:val="0"/>
                              <w:marBottom w:val="0"/>
                              <w:divBdr>
                                <w:top w:val="none" w:sz="0" w:space="0" w:color="auto"/>
                                <w:left w:val="none" w:sz="0" w:space="0" w:color="auto"/>
                                <w:bottom w:val="none" w:sz="0" w:space="0" w:color="auto"/>
                                <w:right w:val="none" w:sz="0" w:space="0" w:color="auto"/>
                              </w:divBdr>
                              <w:divsChild>
                                <w:div w:id="1088691787">
                                  <w:marLeft w:val="0"/>
                                  <w:marRight w:val="0"/>
                                  <w:marTop w:val="0"/>
                                  <w:marBottom w:val="0"/>
                                  <w:divBdr>
                                    <w:top w:val="none" w:sz="0" w:space="0" w:color="auto"/>
                                    <w:left w:val="none" w:sz="0" w:space="0" w:color="auto"/>
                                    <w:bottom w:val="none" w:sz="0" w:space="0" w:color="auto"/>
                                    <w:right w:val="none" w:sz="0" w:space="0" w:color="auto"/>
                                  </w:divBdr>
                                  <w:divsChild>
                                    <w:div w:id="533226491">
                                      <w:marLeft w:val="0"/>
                                      <w:marRight w:val="0"/>
                                      <w:marTop w:val="0"/>
                                      <w:marBottom w:val="0"/>
                                      <w:divBdr>
                                        <w:top w:val="none" w:sz="0" w:space="0" w:color="auto"/>
                                        <w:left w:val="none" w:sz="0" w:space="0" w:color="auto"/>
                                        <w:bottom w:val="none" w:sz="0" w:space="0" w:color="auto"/>
                                        <w:right w:val="none" w:sz="0" w:space="0" w:color="auto"/>
                                      </w:divBdr>
                                      <w:divsChild>
                                        <w:div w:id="178213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2792847">
      <w:bodyDiv w:val="1"/>
      <w:marLeft w:val="0"/>
      <w:marRight w:val="0"/>
      <w:marTop w:val="0"/>
      <w:marBottom w:val="0"/>
      <w:divBdr>
        <w:top w:val="none" w:sz="0" w:space="0" w:color="auto"/>
        <w:left w:val="none" w:sz="0" w:space="0" w:color="auto"/>
        <w:bottom w:val="none" w:sz="0" w:space="0" w:color="auto"/>
        <w:right w:val="none" w:sz="0" w:space="0" w:color="auto"/>
      </w:divBdr>
    </w:div>
    <w:div w:id="1951669107">
      <w:bodyDiv w:val="1"/>
      <w:marLeft w:val="0"/>
      <w:marRight w:val="0"/>
      <w:marTop w:val="0"/>
      <w:marBottom w:val="0"/>
      <w:divBdr>
        <w:top w:val="none" w:sz="0" w:space="0" w:color="auto"/>
        <w:left w:val="none" w:sz="0" w:space="0" w:color="auto"/>
        <w:bottom w:val="none" w:sz="0" w:space="0" w:color="auto"/>
        <w:right w:val="none" w:sz="0" w:space="0" w:color="auto"/>
      </w:divBdr>
      <w:divsChild>
        <w:div w:id="1319379670">
          <w:marLeft w:val="0"/>
          <w:marRight w:val="0"/>
          <w:marTop w:val="0"/>
          <w:marBottom w:val="0"/>
          <w:divBdr>
            <w:top w:val="none" w:sz="0" w:space="0" w:color="auto"/>
            <w:left w:val="none" w:sz="0" w:space="0" w:color="auto"/>
            <w:bottom w:val="none" w:sz="0" w:space="0" w:color="auto"/>
            <w:right w:val="none" w:sz="0" w:space="0" w:color="auto"/>
          </w:divBdr>
        </w:div>
      </w:divsChild>
    </w:div>
    <w:div w:id="2075934396">
      <w:bodyDiv w:val="1"/>
      <w:marLeft w:val="0"/>
      <w:marRight w:val="0"/>
      <w:marTop w:val="0"/>
      <w:marBottom w:val="0"/>
      <w:divBdr>
        <w:top w:val="none" w:sz="0" w:space="0" w:color="auto"/>
        <w:left w:val="none" w:sz="0" w:space="0" w:color="auto"/>
        <w:bottom w:val="none" w:sz="0" w:space="0" w:color="auto"/>
        <w:right w:val="none" w:sz="0" w:space="0" w:color="auto"/>
      </w:divBdr>
      <w:divsChild>
        <w:div w:id="1829399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ternational.media@intesasanpaol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5f5fe31f-9de1-4167-a753-111c0df8115f}" enabled="1" method="Standard" siteId="{cc4baf00-15c9-48dd-9f59-88c98bde2be7}" removed="0"/>
</clbl:labelList>
</file>

<file path=docProps/app.xml><?xml version="1.0" encoding="utf-8"?>
<Properties xmlns="http://schemas.openxmlformats.org/officeDocument/2006/extended-properties" xmlns:vt="http://schemas.openxmlformats.org/officeDocument/2006/docPropsVTypes">
  <Template>Normal.dotm</Template>
  <TotalTime>25</TotalTime>
  <Pages>2</Pages>
  <Words>703</Words>
  <Characters>4005</Characters>
  <Application>Microsoft Office Word</Application>
  <DocSecurity>0</DocSecurity>
  <Lines>66</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FALANGA,FEDRA</dc:creator>
  <cp:keywords/>
  <dc:description/>
  <cp:lastModifiedBy>Jelena Krsmanovic</cp:lastModifiedBy>
  <cp:revision>6</cp:revision>
  <dcterms:created xsi:type="dcterms:W3CDTF">2026-07-29T09:40:00Z</dcterms:created>
  <dcterms:modified xsi:type="dcterms:W3CDTF">2026-07-29T12:55:00Z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062ad87-036e-491e-9fed-a81cfd22561c_Enabled">
    <vt:lpwstr>true</vt:lpwstr>
  </property>
  <property fmtid="{D5CDD505-2E9C-101B-9397-08002B2CF9AE}" pid="3" name="MSIP_Label_2062ad87-036e-491e-9fed-a81cfd22561c_SetDate">
    <vt:lpwstr>2026-07-29T12:54:29Z</vt:lpwstr>
  </property>
  <property fmtid="{D5CDD505-2E9C-101B-9397-08002B2CF9AE}" pid="4" name="MSIP_Label_2062ad87-036e-491e-9fed-a81cfd22561c_Method">
    <vt:lpwstr>Privileged</vt:lpwstr>
  </property>
  <property fmtid="{D5CDD505-2E9C-101B-9397-08002B2CF9AE}" pid="5" name="MSIP_Label_2062ad87-036e-491e-9fed-a81cfd22561c_Name">
    <vt:lpwstr>Javno-Public</vt:lpwstr>
  </property>
  <property fmtid="{D5CDD505-2E9C-101B-9397-08002B2CF9AE}" pid="6" name="MSIP_Label_2062ad87-036e-491e-9fed-a81cfd22561c_SiteId">
    <vt:lpwstr>dacc45ac-2744-490f-9a72-1b841bfcf46e</vt:lpwstr>
  </property>
  <property fmtid="{D5CDD505-2E9C-101B-9397-08002B2CF9AE}" pid="7" name="MSIP_Label_2062ad87-036e-491e-9fed-a81cfd22561c_ActionId">
    <vt:lpwstr>7da7f44d-0d3b-442e-bc7e-4da7250308e2</vt:lpwstr>
  </property>
  <property fmtid="{D5CDD505-2E9C-101B-9397-08002B2CF9AE}" pid="8" name="MSIP_Label_2062ad87-036e-491e-9fed-a81cfd22561c_ContentBits">
    <vt:lpwstr>0</vt:lpwstr>
  </property>
  <property fmtid="{D5CDD505-2E9C-101B-9397-08002B2CF9AE}" pid="9" name="MSIP_Label_2062ad87-036e-491e-9fed-a81cfd22561c_Tag">
    <vt:lpwstr>10, 0, 1, 1</vt:lpwstr>
  </property>
</Properties>
</file>