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565ED8A" w14:textId="04569AB9" w:rsidR="00047C5E" w:rsidRDefault="00157E59" w:rsidP="00E66A03">
      <w:pPr>
        <w:jc w:val="both"/>
        <w:rPr>
          <w:rFonts w:ascii="Arial" w:hAnsi="Arial" w:cs="Arial"/>
          <w:i/>
          <w:iCs/>
          <w:sz w:val="24"/>
          <w:szCs w:val="24"/>
        </w:rPr>
      </w:pPr>
      <w:r>
        <w:rPr>
          <w:noProof/>
        </w:rPr>
        <w:drawing>
          <wp:anchor distT="0" distB="0" distL="114300" distR="114300" simplePos="0" relativeHeight="251659264" behindDoc="0" locked="0" layoutInCell="1" allowOverlap="1" wp14:anchorId="097A5818" wp14:editId="35923CA1">
            <wp:simplePos x="0" y="0"/>
            <wp:positionH relativeFrom="column">
              <wp:posOffset>0</wp:posOffset>
            </wp:positionH>
            <wp:positionV relativeFrom="paragraph">
              <wp:posOffset>0</wp:posOffset>
            </wp:positionV>
            <wp:extent cx="2564109" cy="502129"/>
            <wp:effectExtent l="0" t="0" r="0" b="0"/>
            <wp:wrapNone/>
            <wp:docPr id="167250611" name="Picture 1" descr="A green and grey text on a black background&#10;&#10;AI-generated content may be incorrect.">
              <a:extLst xmlns:a="http://schemas.openxmlformats.org/drawingml/2006/main">
                <a:ext uri="{FF2B5EF4-FFF2-40B4-BE49-F238E27FC236}">
                  <a16:creationId xmlns:a16="http://schemas.microsoft.com/office/drawing/2014/main" id="{0F5D2298-2A93-0087-DA24-26182F5BBF3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250611" name="Picture 167250611" descr="A green and grey text on a black background&#10;&#10;AI-generated content may be incorrect.">
                      <a:extLst>
                        <a:ext uri="{FF2B5EF4-FFF2-40B4-BE49-F238E27FC236}">
                          <a16:creationId xmlns:a16="http://schemas.microsoft.com/office/drawing/2014/main" id="{0F5D2298-2A93-0087-DA24-26182F5BBF32}"/>
                        </a:ext>
                      </a:extLst>
                    </pic:cNvPr>
                    <pic:cNvPicPr>
                      <a:picLocks noChangeAspect="1"/>
                    </pic:cNvPicPr>
                  </pic:nvPicPr>
                  <pic:blipFill>
                    <a:blip r:embed="rId7">
                      <a:extLst>
                        <a:ext uri="{28A0092B-C50C-407E-A947-70E740481C1C}">
                          <a14:useLocalDpi xmlns:a14="http://schemas.microsoft.com/office/drawing/2010/main" val="0"/>
                        </a:ext>
                      </a:extLst>
                    </a:blip>
                    <a:stretch>
                      <a:fillRect/>
                    </a:stretch>
                  </pic:blipFill>
                  <pic:spPr>
                    <a:xfrm>
                      <a:off x="0" y="0"/>
                      <a:ext cx="2564109" cy="502129"/>
                    </a:xfrm>
                    <a:prstGeom prst="rect">
                      <a:avLst/>
                    </a:prstGeom>
                  </pic:spPr>
                </pic:pic>
              </a:graphicData>
            </a:graphic>
          </wp:anchor>
        </w:drawing>
      </w:r>
    </w:p>
    <w:p w14:paraId="7E7058E3" w14:textId="77777777" w:rsidR="00047C5E" w:rsidRDefault="00047C5E" w:rsidP="00E66A03">
      <w:pPr>
        <w:jc w:val="both"/>
        <w:rPr>
          <w:rFonts w:ascii="Arial" w:hAnsi="Arial" w:cs="Arial"/>
          <w:i/>
          <w:iCs/>
          <w:sz w:val="24"/>
          <w:szCs w:val="24"/>
        </w:rPr>
      </w:pPr>
    </w:p>
    <w:p w14:paraId="05976AC2" w14:textId="77777777" w:rsidR="0056193B" w:rsidRDefault="0056193B" w:rsidP="00E66A03">
      <w:pPr>
        <w:jc w:val="both"/>
        <w:rPr>
          <w:rFonts w:ascii="Arial" w:hAnsi="Arial" w:cs="Arial"/>
          <w:sz w:val="24"/>
          <w:szCs w:val="24"/>
        </w:rPr>
      </w:pPr>
    </w:p>
    <w:p w14:paraId="67F9213F" w14:textId="586DC124" w:rsidR="00157E59" w:rsidRPr="0056193B" w:rsidRDefault="0056193B" w:rsidP="0056193B">
      <w:pPr>
        <w:jc w:val="center"/>
        <w:rPr>
          <w:rFonts w:ascii="Times New Roman" w:hAnsi="Times New Roman" w:cs="Times New Roman"/>
          <w:b/>
          <w:bCs/>
          <w:sz w:val="26"/>
          <w:szCs w:val="26"/>
          <w:u w:val="single"/>
        </w:rPr>
      </w:pPr>
      <w:r w:rsidRPr="0056193B">
        <w:rPr>
          <w:rFonts w:ascii="Times New Roman" w:hAnsi="Times New Roman" w:cs="Times New Roman"/>
          <w:b/>
          <w:bCs/>
          <w:sz w:val="26"/>
          <w:szCs w:val="26"/>
          <w:u w:val="single"/>
        </w:rPr>
        <w:t>PRESS RELEASE</w:t>
      </w:r>
    </w:p>
    <w:p w14:paraId="47A02571" w14:textId="482AC1B0" w:rsidR="0056193B" w:rsidRPr="0056193B" w:rsidRDefault="0056193B" w:rsidP="0056193B">
      <w:pPr>
        <w:spacing w:before="100" w:beforeAutospacing="1" w:after="100" w:afterAutospacing="1" w:line="300" w:lineRule="atLeast"/>
        <w:jc w:val="both"/>
        <w:outlineLvl w:val="2"/>
        <w:rPr>
          <w:rFonts w:ascii="Times New Roman" w:eastAsia="Times New Roman" w:hAnsi="Times New Roman" w:cs="Times New Roman"/>
          <w:b/>
          <w:bCs/>
          <w:sz w:val="26"/>
          <w:szCs w:val="26"/>
          <w:lang w:eastAsia="sr-Latn-RS"/>
        </w:rPr>
      </w:pPr>
      <w:r w:rsidRPr="0056193B">
        <w:rPr>
          <w:rFonts w:ascii="Times New Roman" w:eastAsia="Times New Roman" w:hAnsi="Times New Roman" w:cs="Times New Roman"/>
          <w:b/>
          <w:bCs/>
          <w:sz w:val="26"/>
          <w:szCs w:val="26"/>
          <w:lang w:eastAsia="sr-Latn-RS"/>
        </w:rPr>
        <w:t>Banca Intesa Repositions Its Brand Under the Group Slogan “</w:t>
      </w:r>
      <w:r>
        <w:rPr>
          <w:rFonts w:ascii="Times New Roman" w:eastAsia="Times New Roman" w:hAnsi="Times New Roman" w:cs="Times New Roman"/>
          <w:b/>
          <w:bCs/>
          <w:sz w:val="26"/>
          <w:szCs w:val="26"/>
          <w:lang w:eastAsia="sr-Latn-RS"/>
        </w:rPr>
        <w:t>Bank</w:t>
      </w:r>
      <w:r w:rsidRPr="0056193B">
        <w:rPr>
          <w:rFonts w:ascii="Times New Roman" w:eastAsia="Times New Roman" w:hAnsi="Times New Roman" w:cs="Times New Roman"/>
          <w:b/>
          <w:bCs/>
          <w:sz w:val="26"/>
          <w:szCs w:val="26"/>
          <w:lang w:eastAsia="sr-Latn-RS"/>
        </w:rPr>
        <w:t xml:space="preserve"> on the Right Advice”</w:t>
      </w:r>
    </w:p>
    <w:p w14:paraId="65C9443A" w14:textId="1599F99D" w:rsidR="0056193B" w:rsidRPr="0056193B" w:rsidRDefault="0056193B" w:rsidP="0056193B">
      <w:pPr>
        <w:spacing w:before="100" w:beforeAutospacing="1" w:after="100" w:afterAutospacing="1" w:line="300" w:lineRule="atLeast"/>
        <w:jc w:val="both"/>
        <w:rPr>
          <w:rFonts w:ascii="Times New Roman" w:eastAsia="Times New Roman" w:hAnsi="Times New Roman" w:cs="Times New Roman"/>
          <w:sz w:val="26"/>
          <w:szCs w:val="26"/>
          <w:lang w:eastAsia="sr-Latn-RS"/>
        </w:rPr>
      </w:pPr>
      <w:r w:rsidRPr="0056193B">
        <w:rPr>
          <w:rFonts w:ascii="Times New Roman" w:eastAsia="Times New Roman" w:hAnsi="Times New Roman" w:cs="Times New Roman"/>
          <w:b/>
          <w:bCs/>
          <w:sz w:val="26"/>
          <w:szCs w:val="26"/>
          <w:lang w:eastAsia="sr-Latn-RS"/>
        </w:rPr>
        <w:t xml:space="preserve">Belgrade, </w:t>
      </w:r>
      <w:r>
        <w:rPr>
          <w:rFonts w:ascii="Times New Roman" w:eastAsia="Times New Roman" w:hAnsi="Times New Roman" w:cs="Times New Roman"/>
          <w:b/>
          <w:bCs/>
          <w:sz w:val="26"/>
          <w:szCs w:val="26"/>
          <w:lang w:eastAsia="sr-Latn-RS"/>
        </w:rPr>
        <w:t>1</w:t>
      </w:r>
      <w:r w:rsidR="00CF0D05">
        <w:rPr>
          <w:rFonts w:ascii="Times New Roman" w:eastAsia="Times New Roman" w:hAnsi="Times New Roman" w:cs="Times New Roman"/>
          <w:b/>
          <w:bCs/>
          <w:sz w:val="26"/>
          <w:szCs w:val="26"/>
          <w:lang w:eastAsia="sr-Latn-RS"/>
        </w:rPr>
        <w:t>7</w:t>
      </w:r>
      <w:r w:rsidRPr="0056193B">
        <w:rPr>
          <w:rFonts w:ascii="Times New Roman" w:eastAsia="Times New Roman" w:hAnsi="Times New Roman" w:cs="Times New Roman"/>
          <w:b/>
          <w:bCs/>
          <w:sz w:val="26"/>
          <w:szCs w:val="26"/>
          <w:lang w:eastAsia="sr-Latn-RS"/>
        </w:rPr>
        <w:t>.</w:t>
      </w:r>
      <w:r>
        <w:rPr>
          <w:rFonts w:ascii="Times New Roman" w:eastAsia="Times New Roman" w:hAnsi="Times New Roman" w:cs="Times New Roman"/>
          <w:b/>
          <w:bCs/>
          <w:sz w:val="26"/>
          <w:szCs w:val="26"/>
          <w:lang w:eastAsia="sr-Latn-RS"/>
        </w:rPr>
        <w:t>03</w:t>
      </w:r>
      <w:r w:rsidRPr="0056193B">
        <w:rPr>
          <w:rFonts w:ascii="Times New Roman" w:eastAsia="Times New Roman" w:hAnsi="Times New Roman" w:cs="Times New Roman"/>
          <w:b/>
          <w:bCs/>
          <w:sz w:val="26"/>
          <w:szCs w:val="26"/>
          <w:lang w:eastAsia="sr-Latn-RS"/>
        </w:rPr>
        <w:t>.2026</w:t>
      </w:r>
      <w:r w:rsidRPr="0056193B">
        <w:rPr>
          <w:rFonts w:ascii="Times New Roman" w:eastAsia="Times New Roman" w:hAnsi="Times New Roman" w:cs="Times New Roman"/>
          <w:sz w:val="26"/>
          <w:szCs w:val="26"/>
          <w:lang w:eastAsia="sr-Latn-RS"/>
        </w:rPr>
        <w:t xml:space="preserve"> – Banca Intesa, a member of the Intesa Sanpaolo Group, has launched a brand repositioning </w:t>
      </w:r>
      <w:r w:rsidR="00060916">
        <w:rPr>
          <w:rFonts w:ascii="Times New Roman" w:eastAsia="Times New Roman" w:hAnsi="Times New Roman" w:cs="Times New Roman"/>
          <w:sz w:val="26"/>
          <w:szCs w:val="26"/>
          <w:lang w:eastAsia="sr-Latn-RS"/>
        </w:rPr>
        <w:t xml:space="preserve">campaign </w:t>
      </w:r>
      <w:r w:rsidRPr="0056193B">
        <w:rPr>
          <w:rFonts w:ascii="Times New Roman" w:eastAsia="Times New Roman" w:hAnsi="Times New Roman" w:cs="Times New Roman"/>
          <w:sz w:val="26"/>
          <w:szCs w:val="26"/>
          <w:lang w:eastAsia="sr-Latn-RS"/>
        </w:rPr>
        <w:t xml:space="preserve">under the Group slogan </w:t>
      </w:r>
      <w:r w:rsidRPr="0056193B">
        <w:rPr>
          <w:rFonts w:ascii="Times New Roman" w:eastAsia="Times New Roman" w:hAnsi="Times New Roman" w:cs="Times New Roman"/>
          <w:b/>
          <w:bCs/>
          <w:sz w:val="26"/>
          <w:szCs w:val="26"/>
          <w:lang w:eastAsia="sr-Latn-RS"/>
        </w:rPr>
        <w:t>“</w:t>
      </w:r>
      <w:r>
        <w:rPr>
          <w:rFonts w:ascii="Times New Roman" w:eastAsia="Times New Roman" w:hAnsi="Times New Roman" w:cs="Times New Roman"/>
          <w:b/>
          <w:bCs/>
          <w:sz w:val="26"/>
          <w:szCs w:val="26"/>
          <w:lang w:eastAsia="sr-Latn-RS"/>
        </w:rPr>
        <w:t>Bank</w:t>
      </w:r>
      <w:r w:rsidRPr="0056193B">
        <w:rPr>
          <w:rFonts w:ascii="Times New Roman" w:eastAsia="Times New Roman" w:hAnsi="Times New Roman" w:cs="Times New Roman"/>
          <w:b/>
          <w:bCs/>
          <w:sz w:val="26"/>
          <w:szCs w:val="26"/>
          <w:lang w:eastAsia="sr-Latn-RS"/>
        </w:rPr>
        <w:t xml:space="preserve"> on the Right Advice”</w:t>
      </w:r>
      <w:r w:rsidRPr="0056193B">
        <w:rPr>
          <w:rFonts w:ascii="Times New Roman" w:eastAsia="Times New Roman" w:hAnsi="Times New Roman" w:cs="Times New Roman"/>
          <w:sz w:val="26"/>
          <w:szCs w:val="26"/>
          <w:lang w:eastAsia="sr-Latn-RS"/>
        </w:rPr>
        <w:t xml:space="preserve">, which will be implemented across all members of the International Banks Division in Central and Eastern Europe, as well as in Egypt. Through this repositioning, the Bank provides a strategic response to </w:t>
      </w:r>
      <w:r>
        <w:rPr>
          <w:rFonts w:ascii="Times New Roman" w:eastAsia="Times New Roman" w:hAnsi="Times New Roman" w:cs="Times New Roman"/>
          <w:sz w:val="26"/>
          <w:szCs w:val="26"/>
          <w:lang w:eastAsia="sr-Latn-RS"/>
        </w:rPr>
        <w:t>the change of</w:t>
      </w:r>
      <w:r w:rsidRPr="0056193B">
        <w:rPr>
          <w:rFonts w:ascii="Times New Roman" w:eastAsia="Times New Roman" w:hAnsi="Times New Roman" w:cs="Times New Roman"/>
          <w:sz w:val="26"/>
          <w:szCs w:val="26"/>
          <w:lang w:eastAsia="sr-Latn-RS"/>
        </w:rPr>
        <w:t xml:space="preserve"> client</w:t>
      </w:r>
      <w:r>
        <w:rPr>
          <w:rFonts w:ascii="Times New Roman" w:eastAsia="Times New Roman" w:hAnsi="Times New Roman" w:cs="Times New Roman"/>
          <w:sz w:val="26"/>
          <w:szCs w:val="26"/>
          <w:lang w:eastAsia="sr-Latn-RS"/>
        </w:rPr>
        <w:t>s’</w:t>
      </w:r>
      <w:r w:rsidRPr="0056193B">
        <w:rPr>
          <w:rFonts w:ascii="Times New Roman" w:eastAsia="Times New Roman" w:hAnsi="Times New Roman" w:cs="Times New Roman"/>
          <w:sz w:val="26"/>
          <w:szCs w:val="26"/>
          <w:lang w:eastAsia="sr-Latn-RS"/>
        </w:rPr>
        <w:t xml:space="preserve"> expectations regarding support in making important financial decisions, in line with the practice of its parent Group, which holds a leading position in Europe in the field of </w:t>
      </w:r>
      <w:r>
        <w:rPr>
          <w:rFonts w:ascii="Times New Roman" w:eastAsia="Times New Roman" w:hAnsi="Times New Roman" w:cs="Times New Roman"/>
          <w:sz w:val="26"/>
          <w:szCs w:val="26"/>
          <w:lang w:eastAsia="sr-Latn-RS"/>
        </w:rPr>
        <w:t>Wealth</w:t>
      </w:r>
      <w:r w:rsidRPr="0056193B">
        <w:rPr>
          <w:rFonts w:ascii="Times New Roman" w:eastAsia="Times New Roman" w:hAnsi="Times New Roman" w:cs="Times New Roman"/>
          <w:sz w:val="26"/>
          <w:szCs w:val="26"/>
          <w:lang w:eastAsia="sr-Latn-RS"/>
        </w:rPr>
        <w:t xml:space="preserve"> </w:t>
      </w:r>
      <w:r>
        <w:rPr>
          <w:rFonts w:ascii="Times New Roman" w:eastAsia="Times New Roman" w:hAnsi="Times New Roman" w:cs="Times New Roman"/>
          <w:sz w:val="26"/>
          <w:szCs w:val="26"/>
          <w:lang w:eastAsia="sr-Latn-RS"/>
        </w:rPr>
        <w:t>M</w:t>
      </w:r>
      <w:r w:rsidRPr="0056193B">
        <w:rPr>
          <w:rFonts w:ascii="Times New Roman" w:eastAsia="Times New Roman" w:hAnsi="Times New Roman" w:cs="Times New Roman"/>
          <w:sz w:val="26"/>
          <w:szCs w:val="26"/>
          <w:lang w:eastAsia="sr-Latn-RS"/>
        </w:rPr>
        <w:t>anagement</w:t>
      </w:r>
      <w:r>
        <w:rPr>
          <w:rFonts w:ascii="Times New Roman" w:eastAsia="Times New Roman" w:hAnsi="Times New Roman" w:cs="Times New Roman"/>
          <w:sz w:val="26"/>
          <w:szCs w:val="26"/>
          <w:lang w:eastAsia="sr-Latn-RS"/>
        </w:rPr>
        <w:t xml:space="preserve"> and Protection</w:t>
      </w:r>
      <w:r w:rsidRPr="0056193B">
        <w:rPr>
          <w:rFonts w:ascii="Times New Roman" w:eastAsia="Times New Roman" w:hAnsi="Times New Roman" w:cs="Times New Roman"/>
          <w:sz w:val="26"/>
          <w:szCs w:val="26"/>
          <w:lang w:eastAsia="sr-Latn-RS"/>
        </w:rPr>
        <w:t>.</w:t>
      </w:r>
    </w:p>
    <w:p w14:paraId="754B5FA6" w14:textId="3AE4E09A" w:rsidR="0056193B" w:rsidRPr="0056193B" w:rsidRDefault="0056193B" w:rsidP="0056193B">
      <w:pPr>
        <w:spacing w:before="100" w:beforeAutospacing="1" w:after="100" w:afterAutospacing="1" w:line="300" w:lineRule="atLeast"/>
        <w:jc w:val="both"/>
        <w:rPr>
          <w:rFonts w:ascii="Times New Roman" w:eastAsia="Times New Roman" w:hAnsi="Times New Roman" w:cs="Times New Roman"/>
          <w:sz w:val="26"/>
          <w:szCs w:val="26"/>
          <w:lang w:eastAsia="sr-Latn-RS"/>
        </w:rPr>
      </w:pPr>
      <w:r w:rsidRPr="0056193B">
        <w:rPr>
          <w:rFonts w:ascii="Times New Roman" w:eastAsia="Times New Roman" w:hAnsi="Times New Roman" w:cs="Times New Roman"/>
          <w:sz w:val="26"/>
          <w:szCs w:val="26"/>
          <w:lang w:eastAsia="sr-Latn-RS"/>
        </w:rPr>
        <w:t xml:space="preserve">In the Intesa Sanpaolo Group Business Plan for 2026–2029, the International Banks Division is recognized as a key driver of sustainable growth, through the expansion of advisory capabilities aimed at improving the management of </w:t>
      </w:r>
      <w:r>
        <w:rPr>
          <w:rFonts w:ascii="Times New Roman" w:eastAsia="Times New Roman" w:hAnsi="Times New Roman" w:cs="Times New Roman"/>
          <w:sz w:val="26"/>
          <w:szCs w:val="26"/>
          <w:lang w:eastAsia="sr-Latn-RS"/>
        </w:rPr>
        <w:t>Wealth management</w:t>
      </w:r>
      <w:r w:rsidRPr="0056193B">
        <w:rPr>
          <w:rFonts w:ascii="Times New Roman" w:eastAsia="Times New Roman" w:hAnsi="Times New Roman" w:cs="Times New Roman"/>
          <w:sz w:val="26"/>
          <w:szCs w:val="26"/>
          <w:lang w:eastAsia="sr-Latn-RS"/>
        </w:rPr>
        <w:t xml:space="preserve"> across these 12 markets.</w:t>
      </w:r>
    </w:p>
    <w:p w14:paraId="67A169CD" w14:textId="1511DCE7" w:rsidR="0056193B" w:rsidRPr="0056193B" w:rsidRDefault="0056193B" w:rsidP="0056193B">
      <w:pPr>
        <w:spacing w:before="100" w:beforeAutospacing="1" w:after="100" w:afterAutospacing="1" w:line="300" w:lineRule="atLeast"/>
        <w:jc w:val="both"/>
        <w:rPr>
          <w:rFonts w:ascii="Times New Roman" w:eastAsia="Times New Roman" w:hAnsi="Times New Roman" w:cs="Times New Roman"/>
          <w:sz w:val="26"/>
          <w:szCs w:val="26"/>
          <w:lang w:eastAsia="sr-Latn-RS"/>
        </w:rPr>
      </w:pPr>
      <w:r w:rsidRPr="0056193B">
        <w:rPr>
          <w:rFonts w:ascii="Times New Roman" w:eastAsia="Times New Roman" w:hAnsi="Times New Roman" w:cs="Times New Roman"/>
          <w:sz w:val="26"/>
          <w:szCs w:val="26"/>
          <w:lang w:eastAsia="sr-Latn-RS"/>
        </w:rPr>
        <w:t>“In a world of rapid technological development</w:t>
      </w:r>
      <w:r>
        <w:rPr>
          <w:rFonts w:ascii="Times New Roman" w:eastAsia="Times New Roman" w:hAnsi="Times New Roman" w:cs="Times New Roman"/>
          <w:sz w:val="26"/>
          <w:szCs w:val="26"/>
          <w:lang w:eastAsia="sr-Latn-RS"/>
        </w:rPr>
        <w:t>s</w:t>
      </w:r>
      <w:r w:rsidRPr="0056193B">
        <w:rPr>
          <w:rFonts w:ascii="Times New Roman" w:eastAsia="Times New Roman" w:hAnsi="Times New Roman" w:cs="Times New Roman"/>
          <w:sz w:val="26"/>
          <w:szCs w:val="26"/>
          <w:lang w:eastAsia="sr-Latn-RS"/>
        </w:rPr>
        <w:t xml:space="preserve"> and accelerated digitalization, our ambition is to offer a more human approach to banking – to be accessible and understandable, to recognize needs, and to provide answers to the diverse life situations our clients may face. Through this process, we are further strengthening a brand that combines modern technological solutions with trust, empathy, and personal relationships, because we believe that the future of banking is not only digital, but also human,” said </w:t>
      </w:r>
      <w:r>
        <w:rPr>
          <w:rFonts w:ascii="Times New Roman" w:eastAsia="Times New Roman" w:hAnsi="Times New Roman" w:cs="Times New Roman"/>
          <w:sz w:val="26"/>
          <w:szCs w:val="26"/>
          <w:lang w:eastAsia="sr-Latn-RS"/>
        </w:rPr>
        <w:t>Sandra Lazarević, Head of External Communications</w:t>
      </w:r>
      <w:r w:rsidR="007557E6">
        <w:rPr>
          <w:rFonts w:ascii="Times New Roman" w:eastAsia="Times New Roman" w:hAnsi="Times New Roman" w:cs="Times New Roman"/>
          <w:sz w:val="26"/>
          <w:szCs w:val="26"/>
          <w:lang w:eastAsia="sr-Latn-RS"/>
        </w:rPr>
        <w:t xml:space="preserve"> Department</w:t>
      </w:r>
      <w:r w:rsidRPr="0056193B">
        <w:rPr>
          <w:rFonts w:ascii="Times New Roman" w:eastAsia="Times New Roman" w:hAnsi="Times New Roman" w:cs="Times New Roman"/>
          <w:sz w:val="26"/>
          <w:szCs w:val="26"/>
          <w:lang w:eastAsia="sr-Latn-RS"/>
        </w:rPr>
        <w:t>.</w:t>
      </w:r>
    </w:p>
    <w:p w14:paraId="3664B91C" w14:textId="7954FC27" w:rsidR="0056193B" w:rsidRPr="0056193B" w:rsidRDefault="0056193B" w:rsidP="0056193B">
      <w:pPr>
        <w:spacing w:before="100" w:beforeAutospacing="1" w:after="100" w:afterAutospacing="1" w:line="300" w:lineRule="atLeast"/>
        <w:jc w:val="both"/>
        <w:rPr>
          <w:rFonts w:ascii="Times New Roman" w:eastAsia="Times New Roman" w:hAnsi="Times New Roman" w:cs="Times New Roman"/>
          <w:sz w:val="26"/>
          <w:szCs w:val="26"/>
          <w:lang w:eastAsia="sr-Latn-RS"/>
        </w:rPr>
      </w:pPr>
      <w:r w:rsidRPr="0056193B">
        <w:rPr>
          <w:rFonts w:ascii="Times New Roman" w:eastAsia="Times New Roman" w:hAnsi="Times New Roman" w:cs="Times New Roman"/>
          <w:sz w:val="26"/>
          <w:szCs w:val="26"/>
          <w:lang w:eastAsia="sr-Latn-RS"/>
        </w:rPr>
        <w:t xml:space="preserve">The new positioning slogan, </w:t>
      </w:r>
      <w:r w:rsidRPr="0056193B">
        <w:rPr>
          <w:rFonts w:ascii="Times New Roman" w:eastAsia="Times New Roman" w:hAnsi="Times New Roman" w:cs="Times New Roman"/>
          <w:b/>
          <w:bCs/>
          <w:sz w:val="26"/>
          <w:szCs w:val="26"/>
          <w:lang w:eastAsia="sr-Latn-RS"/>
        </w:rPr>
        <w:t>“</w:t>
      </w:r>
      <w:r w:rsidR="00B456D6">
        <w:rPr>
          <w:rFonts w:ascii="Times New Roman" w:eastAsia="Times New Roman" w:hAnsi="Times New Roman" w:cs="Times New Roman"/>
          <w:b/>
          <w:bCs/>
          <w:sz w:val="26"/>
          <w:szCs w:val="26"/>
          <w:lang w:eastAsia="sr-Latn-RS"/>
        </w:rPr>
        <w:t>Bank</w:t>
      </w:r>
      <w:r w:rsidRPr="0056193B">
        <w:rPr>
          <w:rFonts w:ascii="Times New Roman" w:eastAsia="Times New Roman" w:hAnsi="Times New Roman" w:cs="Times New Roman"/>
          <w:b/>
          <w:bCs/>
          <w:sz w:val="26"/>
          <w:szCs w:val="26"/>
          <w:lang w:eastAsia="sr-Latn-RS"/>
        </w:rPr>
        <w:t xml:space="preserve"> on the Right Advice,”</w:t>
      </w:r>
      <w:r w:rsidRPr="0056193B">
        <w:rPr>
          <w:rFonts w:ascii="Times New Roman" w:eastAsia="Times New Roman" w:hAnsi="Times New Roman" w:cs="Times New Roman"/>
          <w:sz w:val="26"/>
          <w:szCs w:val="26"/>
          <w:lang w:eastAsia="sr-Latn-RS"/>
        </w:rPr>
        <w:t xml:space="preserve"> plays on the cultural phenomenon of “advice overload”</w:t>
      </w:r>
      <w:r w:rsidR="00B456D6">
        <w:rPr>
          <w:rFonts w:ascii="Times New Roman" w:eastAsia="Times New Roman" w:hAnsi="Times New Roman" w:cs="Times New Roman"/>
          <w:sz w:val="26"/>
          <w:szCs w:val="26"/>
          <w:lang w:eastAsia="sr-Latn-RS"/>
        </w:rPr>
        <w:t xml:space="preserve">, </w:t>
      </w:r>
      <w:r w:rsidRPr="0056193B">
        <w:rPr>
          <w:rFonts w:ascii="Times New Roman" w:eastAsia="Times New Roman" w:hAnsi="Times New Roman" w:cs="Times New Roman"/>
          <w:sz w:val="26"/>
          <w:szCs w:val="26"/>
          <w:lang w:eastAsia="sr-Latn-RS"/>
        </w:rPr>
        <w:t>the constant flow of unsolicited and often unreliable suggestions people encounter on a daily basis</w:t>
      </w:r>
      <w:r w:rsidR="00B456D6">
        <w:rPr>
          <w:rFonts w:ascii="Times New Roman" w:eastAsia="Times New Roman" w:hAnsi="Times New Roman" w:cs="Times New Roman"/>
          <w:sz w:val="26"/>
          <w:szCs w:val="26"/>
          <w:lang w:eastAsia="sr-Latn-RS"/>
        </w:rPr>
        <w:t>,</w:t>
      </w:r>
      <w:r w:rsidRPr="0056193B">
        <w:rPr>
          <w:rFonts w:ascii="Times New Roman" w:eastAsia="Times New Roman" w:hAnsi="Times New Roman" w:cs="Times New Roman"/>
          <w:sz w:val="26"/>
          <w:szCs w:val="26"/>
          <w:lang w:eastAsia="sr-Latn-RS"/>
        </w:rPr>
        <w:t xml:space="preserve"> presenting professional financial guidance as a trusted alternative.</w:t>
      </w:r>
    </w:p>
    <w:p w14:paraId="6CA4A85E" w14:textId="2479BE2F" w:rsidR="00157E59" w:rsidRPr="0056193B" w:rsidRDefault="0056193B" w:rsidP="0056193B">
      <w:pPr>
        <w:spacing w:before="100" w:beforeAutospacing="1" w:after="100" w:afterAutospacing="1" w:line="300" w:lineRule="atLeast"/>
        <w:jc w:val="both"/>
        <w:rPr>
          <w:rFonts w:ascii="Times New Roman" w:eastAsia="Times New Roman" w:hAnsi="Times New Roman" w:cs="Times New Roman"/>
          <w:sz w:val="26"/>
          <w:szCs w:val="26"/>
          <w:lang w:eastAsia="sr-Latn-RS"/>
        </w:rPr>
      </w:pPr>
      <w:r w:rsidRPr="0056193B">
        <w:rPr>
          <w:rFonts w:ascii="Times New Roman" w:eastAsia="Times New Roman" w:hAnsi="Times New Roman" w:cs="Times New Roman"/>
          <w:sz w:val="26"/>
          <w:szCs w:val="26"/>
          <w:lang w:eastAsia="sr-Latn-RS"/>
        </w:rPr>
        <w:t xml:space="preserve">The integrated communication campaign accompanying the repositioning was developed by the Intesa Sanpaolo Group in cooperation with the creative agency </w:t>
      </w:r>
      <w:r w:rsidRPr="0056193B">
        <w:rPr>
          <w:rFonts w:ascii="Times New Roman" w:eastAsia="Times New Roman" w:hAnsi="Times New Roman" w:cs="Times New Roman"/>
          <w:b/>
          <w:bCs/>
          <w:sz w:val="26"/>
          <w:szCs w:val="26"/>
          <w:lang w:eastAsia="sr-Latn-RS"/>
        </w:rPr>
        <w:t>Le Pub Italy</w:t>
      </w:r>
      <w:r w:rsidRPr="0056193B">
        <w:rPr>
          <w:rFonts w:ascii="Times New Roman" w:eastAsia="Times New Roman" w:hAnsi="Times New Roman" w:cs="Times New Roman"/>
          <w:sz w:val="26"/>
          <w:szCs w:val="26"/>
          <w:lang w:eastAsia="sr-Latn-RS"/>
        </w:rPr>
        <w:t>, part of the Publicis Group.</w:t>
      </w:r>
    </w:p>
    <w:p w14:paraId="13A8D623" w14:textId="77777777" w:rsidR="00157E59" w:rsidRDefault="00157E59" w:rsidP="00157E59">
      <w:pPr>
        <w:pStyle w:val="Default"/>
        <w:jc w:val="both"/>
        <w:rPr>
          <w:rFonts w:ascii="Arial" w:hAnsi="Arial" w:cs="Arial"/>
          <w:iCs/>
          <w:sz w:val="16"/>
          <w:szCs w:val="16"/>
        </w:rPr>
      </w:pPr>
    </w:p>
    <w:p w14:paraId="7B649CF2" w14:textId="77777777" w:rsidR="00157E59" w:rsidRDefault="00157E59" w:rsidP="00157E59">
      <w:pPr>
        <w:pStyle w:val="Default"/>
        <w:jc w:val="both"/>
        <w:rPr>
          <w:rFonts w:ascii="Arial" w:hAnsi="Arial" w:cs="Arial"/>
          <w:iCs/>
          <w:sz w:val="16"/>
          <w:szCs w:val="16"/>
        </w:rPr>
      </w:pPr>
    </w:p>
    <w:p w14:paraId="3768BBB0" w14:textId="1E0F9EC5" w:rsidR="00157E59" w:rsidRPr="00F92627" w:rsidRDefault="00157E59" w:rsidP="00157E59">
      <w:pPr>
        <w:widowControl w:val="0"/>
        <w:pBdr>
          <w:top w:val="single" w:sz="4" w:space="1" w:color="auto"/>
        </w:pBdr>
        <w:autoSpaceDE w:val="0"/>
        <w:autoSpaceDN w:val="0"/>
        <w:jc w:val="both"/>
        <w:rPr>
          <w:rFonts w:ascii="Arial" w:eastAsia="Arial MT" w:hAnsi="Arial" w:cs="Arial"/>
          <w:i/>
          <w:iCs/>
          <w:color w:val="000000"/>
          <w:sz w:val="16"/>
          <w:szCs w:val="16"/>
        </w:rPr>
      </w:pPr>
      <w:r w:rsidRPr="00AA3ADB">
        <w:rPr>
          <w:rFonts w:ascii="Arial" w:eastAsia="Arial MT" w:hAnsi="Arial" w:cs="Arial"/>
          <w:b/>
          <w:i/>
          <w:iCs/>
          <w:color w:val="000000"/>
          <w:sz w:val="16"/>
          <w:szCs w:val="16"/>
        </w:rPr>
        <w:t>Banca Intesa Beograd</w:t>
      </w:r>
      <w:r w:rsidRPr="00AA3ADB">
        <w:rPr>
          <w:rFonts w:ascii="Arial" w:eastAsia="Arial MT" w:hAnsi="Arial" w:cs="Arial"/>
          <w:i/>
          <w:iCs/>
          <w:color w:val="000000"/>
          <w:sz w:val="16"/>
          <w:szCs w:val="16"/>
        </w:rPr>
        <w:t xml:space="preserve">, a member of international banking group Intesa Sanpaolo, has been at the forefront of the Serbian market for </w:t>
      </w:r>
      <w:r>
        <w:rPr>
          <w:rFonts w:ascii="Arial" w:eastAsia="Arial MT" w:hAnsi="Arial" w:cs="Arial"/>
          <w:i/>
          <w:iCs/>
          <w:color w:val="000000"/>
          <w:sz w:val="16"/>
          <w:szCs w:val="16"/>
        </w:rPr>
        <w:t xml:space="preserve">17 </w:t>
      </w:r>
      <w:r w:rsidRPr="00AA3ADB">
        <w:rPr>
          <w:rFonts w:ascii="Arial" w:eastAsia="Arial MT" w:hAnsi="Arial" w:cs="Arial"/>
          <w:i/>
          <w:iCs/>
          <w:color w:val="000000"/>
          <w:sz w:val="16"/>
          <w:szCs w:val="16"/>
        </w:rPr>
        <w:t xml:space="preserve">years. Thanks to a unique combination of physical and digital presence, a comprehensive offer of modern financial solutions, superior customer experience and top-quality service, the bank boasts 1.4 million clients in the corporate and retail segments. Banca Intesa's business success is evidenced by its customer base as well as by numerous international awards for best bank in Serbia from renowned finance magazines The Banker, Euromoney and Global Finance. Acknowledging its role in supporting green transition and promoting inclusive growth, Banca Intesa integrates ESG principles into its business processes, policies and products, contributing to solving social and environmental challenges, as well as strengthening the sustainability and resilience of </w:t>
      </w:r>
      <w:r w:rsidRPr="00AA3ADB">
        <w:rPr>
          <w:rFonts w:ascii="Arial" w:eastAsia="Arial MT" w:hAnsi="Arial" w:cs="Arial"/>
          <w:i/>
          <w:iCs/>
          <w:color w:val="000000"/>
          <w:sz w:val="16"/>
          <w:szCs w:val="16"/>
        </w:rPr>
        <w:lastRenderedPageBreak/>
        <w:t>its own business model.</w:t>
      </w:r>
    </w:p>
    <w:p w14:paraId="2DA5D82A" w14:textId="70AD75B6" w:rsidR="00157E59" w:rsidRPr="00157E59" w:rsidRDefault="00157E59" w:rsidP="00157E59">
      <w:pPr>
        <w:pStyle w:val="Default"/>
        <w:jc w:val="both"/>
        <w:rPr>
          <w:rFonts w:ascii="Arial" w:hAnsi="Arial" w:cs="Arial"/>
          <w:i/>
          <w:sz w:val="16"/>
          <w:szCs w:val="16"/>
        </w:rPr>
      </w:pPr>
      <w:bookmarkStart w:id="0" w:name="_Hlk224643891"/>
      <w:bookmarkStart w:id="1" w:name="_Hlk224644214"/>
      <w:r w:rsidRPr="00157E59">
        <w:rPr>
          <w:rFonts w:ascii="Arial" w:hAnsi="Arial" w:cs="Arial"/>
          <w:b/>
          <w:bCs/>
          <w:i/>
          <w:sz w:val="16"/>
          <w:szCs w:val="16"/>
        </w:rPr>
        <w:t>Intesa Sanpaolo</w:t>
      </w:r>
      <w:r w:rsidRPr="00157E59">
        <w:rPr>
          <w:rFonts w:ascii="Arial" w:hAnsi="Arial" w:cs="Arial"/>
          <w:i/>
          <w:sz w:val="16"/>
          <w:szCs w:val="16"/>
        </w:rPr>
        <w:t>, with €422 billion in loans and €1.4 trillion in customer financial assets at the end of 2024, is the largest banking group in Italy, with a significant international presence. It is a European leader in wealth management, with a strong focus on digital and fintech. The Group will provide €115 billion of Impact lending by 2025 to support communities and the green transition, together with a €1.5 billion program (2023-2027) to help people in need. The Bank's network of museums, the Gallerie d'Italia, hosts its owned artistic heritage and cultural projects of recognized value.</w:t>
      </w:r>
    </w:p>
    <w:bookmarkEnd w:id="0"/>
    <w:p w14:paraId="4E6288DE" w14:textId="77777777" w:rsidR="00157E59" w:rsidRPr="00157E59" w:rsidRDefault="00157E59" w:rsidP="00157E59">
      <w:pPr>
        <w:pStyle w:val="Default"/>
        <w:jc w:val="both"/>
        <w:rPr>
          <w:rFonts w:ascii="Arial" w:hAnsi="Arial" w:cs="Arial"/>
          <w:i/>
          <w:sz w:val="16"/>
          <w:szCs w:val="16"/>
        </w:rPr>
      </w:pPr>
    </w:p>
    <w:p w14:paraId="35297CAC" w14:textId="77777777" w:rsidR="00157E59" w:rsidRPr="00157E59" w:rsidRDefault="00157E59" w:rsidP="00157E59">
      <w:pPr>
        <w:pStyle w:val="Default"/>
        <w:jc w:val="both"/>
        <w:rPr>
          <w:rFonts w:ascii="Arial" w:hAnsi="Arial" w:cs="Arial"/>
          <w:i/>
          <w:sz w:val="16"/>
          <w:szCs w:val="16"/>
        </w:rPr>
      </w:pPr>
      <w:bookmarkStart w:id="2" w:name="_Hlk224643787"/>
      <w:r w:rsidRPr="00157E59">
        <w:rPr>
          <w:rFonts w:ascii="Arial" w:hAnsi="Arial" w:cs="Arial"/>
          <w:i/>
          <w:sz w:val="16"/>
          <w:szCs w:val="16"/>
        </w:rPr>
        <w:t>News: group.intesasanpaolo.com/en/newsroom</w:t>
      </w:r>
    </w:p>
    <w:p w14:paraId="13A0AC07" w14:textId="77777777" w:rsidR="00157E59" w:rsidRPr="00157E59" w:rsidRDefault="00157E59" w:rsidP="00157E59">
      <w:pPr>
        <w:pStyle w:val="Default"/>
        <w:jc w:val="both"/>
        <w:rPr>
          <w:rFonts w:ascii="Arial" w:hAnsi="Arial" w:cs="Arial"/>
          <w:i/>
          <w:sz w:val="16"/>
          <w:szCs w:val="16"/>
        </w:rPr>
      </w:pPr>
      <w:r w:rsidRPr="00157E59">
        <w:rPr>
          <w:rFonts w:ascii="Arial" w:hAnsi="Arial" w:cs="Arial"/>
          <w:i/>
          <w:sz w:val="16"/>
          <w:szCs w:val="16"/>
        </w:rPr>
        <w:t>X: @intesasanpaolo</w:t>
      </w:r>
    </w:p>
    <w:p w14:paraId="15F43E58" w14:textId="77777777" w:rsidR="00157E59" w:rsidRPr="00157E59" w:rsidRDefault="00157E59" w:rsidP="00157E59">
      <w:pPr>
        <w:pStyle w:val="Default"/>
        <w:jc w:val="both"/>
        <w:rPr>
          <w:rFonts w:ascii="Arial" w:hAnsi="Arial" w:cs="Arial"/>
          <w:i/>
          <w:sz w:val="16"/>
          <w:szCs w:val="16"/>
        </w:rPr>
      </w:pPr>
      <w:r w:rsidRPr="00157E59">
        <w:rPr>
          <w:rFonts w:ascii="Arial" w:hAnsi="Arial" w:cs="Arial"/>
          <w:i/>
          <w:sz w:val="16"/>
          <w:szCs w:val="16"/>
        </w:rPr>
        <w:t>LinkedIn: linkedin.com/company/intesa-sanpaolo</w:t>
      </w:r>
    </w:p>
    <w:p w14:paraId="0DBD16CC" w14:textId="4F2BB450" w:rsidR="00157E59" w:rsidRPr="00157E59" w:rsidRDefault="00157E59" w:rsidP="00157E59">
      <w:pPr>
        <w:pStyle w:val="Default"/>
        <w:jc w:val="both"/>
        <w:rPr>
          <w:rFonts w:ascii="Arial" w:hAnsi="Arial" w:cs="Arial"/>
          <w:i/>
          <w:sz w:val="16"/>
          <w:szCs w:val="16"/>
        </w:rPr>
      </w:pPr>
      <w:r w:rsidRPr="00157E59">
        <w:rPr>
          <w:rFonts w:ascii="Arial" w:hAnsi="Arial" w:cs="Arial"/>
          <w:i/>
          <w:sz w:val="16"/>
          <w:szCs w:val="16"/>
        </w:rPr>
        <w:t>group.intesasanpaolo.com/en/</w:t>
      </w:r>
      <w:bookmarkEnd w:id="1"/>
      <w:bookmarkEnd w:id="2"/>
    </w:p>
    <w:sectPr w:rsidR="00157E59" w:rsidRPr="00157E5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84121DD" w14:textId="77777777" w:rsidR="00580E92" w:rsidRDefault="00580E92" w:rsidP="00E66A03">
      <w:pPr>
        <w:spacing w:after="0" w:line="240" w:lineRule="auto"/>
      </w:pPr>
      <w:r>
        <w:separator/>
      </w:r>
    </w:p>
  </w:endnote>
  <w:endnote w:type="continuationSeparator" w:id="0">
    <w:p w14:paraId="7383B431" w14:textId="77777777" w:rsidR="00580E92" w:rsidRDefault="00580E92" w:rsidP="00E66A0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EE"/>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rial MT">
    <w:altName w:val="Arial"/>
    <w:charset w:val="00"/>
    <w:family w:val="swiss"/>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B229E3E" w14:textId="77777777" w:rsidR="00580E92" w:rsidRDefault="00580E92" w:rsidP="00E66A03">
      <w:pPr>
        <w:spacing w:after="0" w:line="240" w:lineRule="auto"/>
      </w:pPr>
      <w:r>
        <w:separator/>
      </w:r>
    </w:p>
  </w:footnote>
  <w:footnote w:type="continuationSeparator" w:id="0">
    <w:p w14:paraId="0677EFD2" w14:textId="77777777" w:rsidR="00580E92" w:rsidRDefault="00580E92" w:rsidP="00E66A03">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66A03"/>
    <w:rsid w:val="00001236"/>
    <w:rsid w:val="00030516"/>
    <w:rsid w:val="00047C5E"/>
    <w:rsid w:val="00060916"/>
    <w:rsid w:val="00067A2D"/>
    <w:rsid w:val="00157E59"/>
    <w:rsid w:val="00191166"/>
    <w:rsid w:val="0023191E"/>
    <w:rsid w:val="002A21EF"/>
    <w:rsid w:val="003526DA"/>
    <w:rsid w:val="00371101"/>
    <w:rsid w:val="0038417D"/>
    <w:rsid w:val="003D1F42"/>
    <w:rsid w:val="003E5B99"/>
    <w:rsid w:val="003F077D"/>
    <w:rsid w:val="003F46D1"/>
    <w:rsid w:val="004139BC"/>
    <w:rsid w:val="0056193B"/>
    <w:rsid w:val="00580E92"/>
    <w:rsid w:val="005D6C00"/>
    <w:rsid w:val="00601FD5"/>
    <w:rsid w:val="00634AD7"/>
    <w:rsid w:val="006F3CF6"/>
    <w:rsid w:val="007557E6"/>
    <w:rsid w:val="00771AF2"/>
    <w:rsid w:val="007910AA"/>
    <w:rsid w:val="00976596"/>
    <w:rsid w:val="009D0399"/>
    <w:rsid w:val="00AC6A9A"/>
    <w:rsid w:val="00B31072"/>
    <w:rsid w:val="00B456D6"/>
    <w:rsid w:val="00B925D6"/>
    <w:rsid w:val="00CF0D05"/>
    <w:rsid w:val="00D76D9A"/>
    <w:rsid w:val="00DB6FE0"/>
    <w:rsid w:val="00DD1625"/>
    <w:rsid w:val="00DE2528"/>
    <w:rsid w:val="00E24FB8"/>
    <w:rsid w:val="00E66A03"/>
    <w:rsid w:val="00FA6AC3"/>
  </w:rsids>
  <m:mathPr>
    <m:mathFont m:val="Cambria Math"/>
    <m:brkBin m:val="before"/>
    <m:brkBinSub m:val="--"/>
    <m:smallFrac m:val="0"/>
    <m:dispDef/>
    <m:lMargin m:val="0"/>
    <m:rMargin m:val="0"/>
    <m:defJc m:val="centerGroup"/>
    <m:wrapIndent m:val="1440"/>
    <m:intLim m:val="subSup"/>
    <m:naryLim m:val="undOvr"/>
  </m:mathPr>
  <w:themeFontLang w:val="sr-Latn-R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C6E22AB"/>
  <w15:chartTrackingRefBased/>
  <w15:docId w15:val="{C46C00B6-1413-4757-B325-26AB196D6B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r-Latn-R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E66A03"/>
    <w:pPr>
      <w:keepNext/>
      <w:keepLines/>
      <w:spacing w:before="360" w:after="80"/>
      <w:outlineLvl w:val="0"/>
    </w:pPr>
    <w:rPr>
      <w:rFonts w:asciiTheme="majorHAnsi" w:eastAsiaTheme="majorEastAsia" w:hAnsiTheme="majorHAnsi" w:cstheme="majorBidi"/>
      <w:color w:val="2E74B5" w:themeColor="accent1" w:themeShade="BF"/>
      <w:sz w:val="40"/>
      <w:szCs w:val="40"/>
    </w:rPr>
  </w:style>
  <w:style w:type="paragraph" w:styleId="Heading2">
    <w:name w:val="heading 2"/>
    <w:basedOn w:val="Normal"/>
    <w:next w:val="Normal"/>
    <w:link w:val="Heading2Char"/>
    <w:uiPriority w:val="9"/>
    <w:semiHidden/>
    <w:unhideWhenUsed/>
    <w:qFormat/>
    <w:rsid w:val="00E66A03"/>
    <w:pPr>
      <w:keepNext/>
      <w:keepLines/>
      <w:spacing w:before="160" w:after="80"/>
      <w:outlineLvl w:val="1"/>
    </w:pPr>
    <w:rPr>
      <w:rFonts w:asciiTheme="majorHAnsi" w:eastAsiaTheme="majorEastAsia" w:hAnsiTheme="majorHAnsi" w:cstheme="majorBidi"/>
      <w:color w:val="2E74B5" w:themeColor="accent1" w:themeShade="BF"/>
      <w:sz w:val="32"/>
      <w:szCs w:val="32"/>
    </w:rPr>
  </w:style>
  <w:style w:type="paragraph" w:styleId="Heading3">
    <w:name w:val="heading 3"/>
    <w:basedOn w:val="Normal"/>
    <w:next w:val="Normal"/>
    <w:link w:val="Heading3Char"/>
    <w:uiPriority w:val="9"/>
    <w:semiHidden/>
    <w:unhideWhenUsed/>
    <w:qFormat/>
    <w:rsid w:val="00E66A03"/>
    <w:pPr>
      <w:keepNext/>
      <w:keepLines/>
      <w:spacing w:before="160" w:after="80"/>
      <w:outlineLvl w:val="2"/>
    </w:pPr>
    <w:rPr>
      <w:rFonts w:eastAsiaTheme="majorEastAsia" w:cstheme="majorBidi"/>
      <w:color w:val="2E74B5" w:themeColor="accent1" w:themeShade="BF"/>
      <w:sz w:val="28"/>
      <w:szCs w:val="28"/>
    </w:rPr>
  </w:style>
  <w:style w:type="paragraph" w:styleId="Heading4">
    <w:name w:val="heading 4"/>
    <w:basedOn w:val="Normal"/>
    <w:next w:val="Normal"/>
    <w:link w:val="Heading4Char"/>
    <w:uiPriority w:val="9"/>
    <w:semiHidden/>
    <w:unhideWhenUsed/>
    <w:qFormat/>
    <w:rsid w:val="00E66A03"/>
    <w:pPr>
      <w:keepNext/>
      <w:keepLines/>
      <w:spacing w:before="80" w:after="40"/>
      <w:outlineLvl w:val="3"/>
    </w:pPr>
    <w:rPr>
      <w:rFonts w:eastAsiaTheme="majorEastAsia" w:cstheme="majorBidi"/>
      <w:i/>
      <w:iCs/>
      <w:color w:val="2E74B5" w:themeColor="accent1" w:themeShade="BF"/>
    </w:rPr>
  </w:style>
  <w:style w:type="paragraph" w:styleId="Heading5">
    <w:name w:val="heading 5"/>
    <w:basedOn w:val="Normal"/>
    <w:next w:val="Normal"/>
    <w:link w:val="Heading5Char"/>
    <w:uiPriority w:val="9"/>
    <w:semiHidden/>
    <w:unhideWhenUsed/>
    <w:qFormat/>
    <w:rsid w:val="00E66A03"/>
    <w:pPr>
      <w:keepNext/>
      <w:keepLines/>
      <w:spacing w:before="80" w:after="40"/>
      <w:outlineLvl w:val="4"/>
    </w:pPr>
    <w:rPr>
      <w:rFonts w:eastAsiaTheme="majorEastAsia" w:cstheme="majorBidi"/>
      <w:color w:val="2E74B5" w:themeColor="accent1" w:themeShade="BF"/>
    </w:rPr>
  </w:style>
  <w:style w:type="paragraph" w:styleId="Heading6">
    <w:name w:val="heading 6"/>
    <w:basedOn w:val="Normal"/>
    <w:next w:val="Normal"/>
    <w:link w:val="Heading6Char"/>
    <w:uiPriority w:val="9"/>
    <w:semiHidden/>
    <w:unhideWhenUsed/>
    <w:qFormat/>
    <w:rsid w:val="00E66A03"/>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E66A03"/>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E66A03"/>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E66A03"/>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66A03"/>
    <w:rPr>
      <w:rFonts w:asciiTheme="majorHAnsi" w:eastAsiaTheme="majorEastAsia" w:hAnsiTheme="majorHAnsi" w:cstheme="majorBidi"/>
      <w:color w:val="2E74B5" w:themeColor="accent1" w:themeShade="BF"/>
      <w:sz w:val="40"/>
      <w:szCs w:val="40"/>
    </w:rPr>
  </w:style>
  <w:style w:type="character" w:customStyle="1" w:styleId="Heading2Char">
    <w:name w:val="Heading 2 Char"/>
    <w:basedOn w:val="DefaultParagraphFont"/>
    <w:link w:val="Heading2"/>
    <w:uiPriority w:val="9"/>
    <w:semiHidden/>
    <w:rsid w:val="00E66A03"/>
    <w:rPr>
      <w:rFonts w:asciiTheme="majorHAnsi" w:eastAsiaTheme="majorEastAsia" w:hAnsiTheme="majorHAnsi" w:cstheme="majorBidi"/>
      <w:color w:val="2E74B5" w:themeColor="accent1" w:themeShade="BF"/>
      <w:sz w:val="32"/>
      <w:szCs w:val="32"/>
    </w:rPr>
  </w:style>
  <w:style w:type="character" w:customStyle="1" w:styleId="Heading3Char">
    <w:name w:val="Heading 3 Char"/>
    <w:basedOn w:val="DefaultParagraphFont"/>
    <w:link w:val="Heading3"/>
    <w:uiPriority w:val="9"/>
    <w:semiHidden/>
    <w:rsid w:val="00E66A03"/>
    <w:rPr>
      <w:rFonts w:eastAsiaTheme="majorEastAsia" w:cstheme="majorBidi"/>
      <w:color w:val="2E74B5" w:themeColor="accent1" w:themeShade="BF"/>
      <w:sz w:val="28"/>
      <w:szCs w:val="28"/>
    </w:rPr>
  </w:style>
  <w:style w:type="character" w:customStyle="1" w:styleId="Heading4Char">
    <w:name w:val="Heading 4 Char"/>
    <w:basedOn w:val="DefaultParagraphFont"/>
    <w:link w:val="Heading4"/>
    <w:uiPriority w:val="9"/>
    <w:semiHidden/>
    <w:rsid w:val="00E66A03"/>
    <w:rPr>
      <w:rFonts w:eastAsiaTheme="majorEastAsia" w:cstheme="majorBidi"/>
      <w:i/>
      <w:iCs/>
      <w:color w:val="2E74B5" w:themeColor="accent1" w:themeShade="BF"/>
    </w:rPr>
  </w:style>
  <w:style w:type="character" w:customStyle="1" w:styleId="Heading5Char">
    <w:name w:val="Heading 5 Char"/>
    <w:basedOn w:val="DefaultParagraphFont"/>
    <w:link w:val="Heading5"/>
    <w:uiPriority w:val="9"/>
    <w:semiHidden/>
    <w:rsid w:val="00E66A03"/>
    <w:rPr>
      <w:rFonts w:eastAsiaTheme="majorEastAsia" w:cstheme="majorBidi"/>
      <w:color w:val="2E74B5" w:themeColor="accent1" w:themeShade="BF"/>
    </w:rPr>
  </w:style>
  <w:style w:type="character" w:customStyle="1" w:styleId="Heading6Char">
    <w:name w:val="Heading 6 Char"/>
    <w:basedOn w:val="DefaultParagraphFont"/>
    <w:link w:val="Heading6"/>
    <w:uiPriority w:val="9"/>
    <w:semiHidden/>
    <w:rsid w:val="00E66A0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E66A0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E66A0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E66A03"/>
    <w:rPr>
      <w:rFonts w:eastAsiaTheme="majorEastAsia" w:cstheme="majorBidi"/>
      <w:color w:val="272727" w:themeColor="text1" w:themeTint="D8"/>
    </w:rPr>
  </w:style>
  <w:style w:type="paragraph" w:styleId="Title">
    <w:name w:val="Title"/>
    <w:basedOn w:val="Normal"/>
    <w:next w:val="Normal"/>
    <w:link w:val="TitleChar"/>
    <w:uiPriority w:val="10"/>
    <w:qFormat/>
    <w:rsid w:val="00E66A0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66A0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E66A03"/>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E66A0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E66A03"/>
    <w:pPr>
      <w:spacing w:before="160"/>
      <w:jc w:val="center"/>
    </w:pPr>
    <w:rPr>
      <w:i/>
      <w:iCs/>
      <w:color w:val="404040" w:themeColor="text1" w:themeTint="BF"/>
    </w:rPr>
  </w:style>
  <w:style w:type="character" w:customStyle="1" w:styleId="QuoteChar">
    <w:name w:val="Quote Char"/>
    <w:basedOn w:val="DefaultParagraphFont"/>
    <w:link w:val="Quote"/>
    <w:uiPriority w:val="29"/>
    <w:rsid w:val="00E66A03"/>
    <w:rPr>
      <w:i/>
      <w:iCs/>
      <w:color w:val="404040" w:themeColor="text1" w:themeTint="BF"/>
    </w:rPr>
  </w:style>
  <w:style w:type="paragraph" w:styleId="ListParagraph">
    <w:name w:val="List Paragraph"/>
    <w:basedOn w:val="Normal"/>
    <w:uiPriority w:val="34"/>
    <w:qFormat/>
    <w:rsid w:val="00E66A03"/>
    <w:pPr>
      <w:ind w:left="720"/>
      <w:contextualSpacing/>
    </w:pPr>
  </w:style>
  <w:style w:type="character" w:styleId="IntenseEmphasis">
    <w:name w:val="Intense Emphasis"/>
    <w:basedOn w:val="DefaultParagraphFont"/>
    <w:uiPriority w:val="21"/>
    <w:qFormat/>
    <w:rsid w:val="00E66A03"/>
    <w:rPr>
      <w:i/>
      <w:iCs/>
      <w:color w:val="2E74B5" w:themeColor="accent1" w:themeShade="BF"/>
    </w:rPr>
  </w:style>
  <w:style w:type="paragraph" w:styleId="IntenseQuote">
    <w:name w:val="Intense Quote"/>
    <w:basedOn w:val="Normal"/>
    <w:next w:val="Normal"/>
    <w:link w:val="IntenseQuoteChar"/>
    <w:uiPriority w:val="30"/>
    <w:qFormat/>
    <w:rsid w:val="00E66A03"/>
    <w:pPr>
      <w:pBdr>
        <w:top w:val="single" w:sz="4" w:space="10" w:color="2E74B5" w:themeColor="accent1" w:themeShade="BF"/>
        <w:bottom w:val="single" w:sz="4" w:space="10" w:color="2E74B5" w:themeColor="accent1" w:themeShade="BF"/>
      </w:pBdr>
      <w:spacing w:before="360" w:after="360"/>
      <w:ind w:left="864" w:right="864"/>
      <w:jc w:val="center"/>
    </w:pPr>
    <w:rPr>
      <w:i/>
      <w:iCs/>
      <w:color w:val="2E74B5" w:themeColor="accent1" w:themeShade="BF"/>
    </w:rPr>
  </w:style>
  <w:style w:type="character" w:customStyle="1" w:styleId="IntenseQuoteChar">
    <w:name w:val="Intense Quote Char"/>
    <w:basedOn w:val="DefaultParagraphFont"/>
    <w:link w:val="IntenseQuote"/>
    <w:uiPriority w:val="30"/>
    <w:rsid w:val="00E66A03"/>
    <w:rPr>
      <w:i/>
      <w:iCs/>
      <w:color w:val="2E74B5" w:themeColor="accent1" w:themeShade="BF"/>
    </w:rPr>
  </w:style>
  <w:style w:type="character" w:styleId="IntenseReference">
    <w:name w:val="Intense Reference"/>
    <w:basedOn w:val="DefaultParagraphFont"/>
    <w:uiPriority w:val="32"/>
    <w:qFormat/>
    <w:rsid w:val="00E66A03"/>
    <w:rPr>
      <w:b/>
      <w:bCs/>
      <w:smallCaps/>
      <w:color w:val="2E74B5" w:themeColor="accent1" w:themeShade="BF"/>
      <w:spacing w:val="5"/>
    </w:rPr>
  </w:style>
  <w:style w:type="paragraph" w:styleId="Header">
    <w:name w:val="header"/>
    <w:basedOn w:val="Normal"/>
    <w:link w:val="HeaderChar"/>
    <w:uiPriority w:val="99"/>
    <w:unhideWhenUsed/>
    <w:rsid w:val="00E66A03"/>
    <w:pPr>
      <w:tabs>
        <w:tab w:val="center" w:pos="4536"/>
        <w:tab w:val="right" w:pos="9072"/>
      </w:tabs>
      <w:spacing w:after="0" w:line="240" w:lineRule="auto"/>
    </w:pPr>
  </w:style>
  <w:style w:type="character" w:customStyle="1" w:styleId="HeaderChar">
    <w:name w:val="Header Char"/>
    <w:basedOn w:val="DefaultParagraphFont"/>
    <w:link w:val="Header"/>
    <w:uiPriority w:val="99"/>
    <w:rsid w:val="00E66A03"/>
  </w:style>
  <w:style w:type="paragraph" w:styleId="Footer">
    <w:name w:val="footer"/>
    <w:basedOn w:val="Normal"/>
    <w:link w:val="FooterChar"/>
    <w:uiPriority w:val="99"/>
    <w:unhideWhenUsed/>
    <w:rsid w:val="00E66A03"/>
    <w:pPr>
      <w:tabs>
        <w:tab w:val="center" w:pos="4536"/>
        <w:tab w:val="right" w:pos="9072"/>
      </w:tabs>
      <w:spacing w:after="0" w:line="240" w:lineRule="auto"/>
    </w:pPr>
  </w:style>
  <w:style w:type="character" w:customStyle="1" w:styleId="FooterChar">
    <w:name w:val="Footer Char"/>
    <w:basedOn w:val="DefaultParagraphFont"/>
    <w:link w:val="Footer"/>
    <w:uiPriority w:val="99"/>
    <w:rsid w:val="00E66A03"/>
  </w:style>
  <w:style w:type="paragraph" w:styleId="BodyText">
    <w:name w:val="Body Text"/>
    <w:basedOn w:val="Normal"/>
    <w:link w:val="BodyTextChar"/>
    <w:uiPriority w:val="1"/>
    <w:qFormat/>
    <w:rsid w:val="00E66A03"/>
    <w:pPr>
      <w:widowControl w:val="0"/>
      <w:autoSpaceDE w:val="0"/>
      <w:autoSpaceDN w:val="0"/>
      <w:spacing w:after="0" w:line="240" w:lineRule="auto"/>
    </w:pPr>
    <w:rPr>
      <w:rFonts w:ascii="Arial MT" w:eastAsia="Arial MT" w:hAnsi="Arial MT" w:cs="Arial MT"/>
      <w:lang w:val="bs"/>
    </w:rPr>
  </w:style>
  <w:style w:type="character" w:customStyle="1" w:styleId="BodyTextChar">
    <w:name w:val="Body Text Char"/>
    <w:basedOn w:val="DefaultParagraphFont"/>
    <w:link w:val="BodyText"/>
    <w:uiPriority w:val="1"/>
    <w:rsid w:val="00E66A03"/>
    <w:rPr>
      <w:rFonts w:ascii="Arial MT" w:eastAsia="Arial MT" w:hAnsi="Arial MT" w:cs="Arial MT"/>
      <w:lang w:val="bs"/>
    </w:rPr>
  </w:style>
  <w:style w:type="paragraph" w:customStyle="1" w:styleId="Default">
    <w:name w:val="Default"/>
    <w:rsid w:val="00157E59"/>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isl xmlns:xsd="http://www.w3.org/2001/XMLSchema" xmlns:xsi="http://www.w3.org/2001/XMLSchema-instance" xmlns="http://www.boldonjames.com/2008/01/sie/internal/label" sislVersion="0" policy="9fad6c12-c904-493a-a948-e4ea7052b9f8" origin="userSelected">
  <element uid="923c84e0-b190-45b3-b376-51567574750c" value=""/>
</sisl>
</file>

<file path=customXml/itemProps1.xml><?xml version="1.0" encoding="utf-8"?>
<ds:datastoreItem xmlns:ds="http://schemas.openxmlformats.org/officeDocument/2006/customXml" ds:itemID="{19C913FA-D485-4C97-81BA-D4EBF032EADC}">
  <ds:schemaRefs>
    <ds:schemaRef ds:uri="http://www.w3.org/2001/XMLSchema"/>
    <ds:schemaRef ds:uri="http://www.boldonjames.com/2008/01/sie/internal/label"/>
  </ds:schemaRefs>
</ds:datastoreItem>
</file>

<file path=docProps/app.xml><?xml version="1.0" encoding="utf-8"?>
<Properties xmlns="http://schemas.openxmlformats.org/officeDocument/2006/extended-properties" xmlns:vt="http://schemas.openxmlformats.org/officeDocument/2006/docPropsVTypes">
  <Template>Normal.dotm</Template>
  <TotalTime>20</TotalTime>
  <Pages>2</Pages>
  <Words>557</Words>
  <Characters>3134</Characters>
  <Application>Microsoft Office Word</Application>
  <DocSecurity>0</DocSecurity>
  <Lines>55</Lines>
  <Paragraphs>13</Paragraphs>
  <ScaleCrop>false</ScaleCrop>
  <HeadingPairs>
    <vt:vector size="2" baseType="variant">
      <vt:variant>
        <vt:lpstr>Title</vt:lpstr>
      </vt:variant>
      <vt:variant>
        <vt:i4>1</vt:i4>
      </vt:variant>
    </vt:vector>
  </HeadingPairs>
  <TitlesOfParts>
    <vt:vector size="1" baseType="lpstr">
      <vt:lpstr/>
    </vt:vector>
  </TitlesOfParts>
  <Company>Banca Intesa ad Beograd</Company>
  <LinksUpToDate>false</LinksUpToDate>
  <CharactersWithSpaces>3678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Jelena Krsmanovic</dc:creator>
  <cp:keywords/>
  <dc:description/>
  <cp:lastModifiedBy>Jasna Milosavljev</cp:lastModifiedBy>
  <cp:revision>6</cp:revision>
  <dcterms:created xsi:type="dcterms:W3CDTF">2026-03-17T09:03:00Z</dcterms:created>
  <dcterms:modified xsi:type="dcterms:W3CDTF">2026-03-17T14:03:00Z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IndexRef">
    <vt:lpwstr>fdf0e93e-e42e-44aa-bb9e-8911c35c2b8e</vt:lpwstr>
  </property>
  <property fmtid="{D5CDD505-2E9C-101B-9397-08002B2CF9AE}" pid="3" name="bjClsUserRVM">
    <vt:lpwstr>[]</vt:lpwstr>
  </property>
  <property fmtid="{D5CDD505-2E9C-101B-9397-08002B2CF9AE}" pid="4" name="bjSaver">
    <vt:lpwstr>Yswk2Z+P4WeVAdRVoAX0wKwsArwsDzpN</vt:lpwstr>
  </property>
  <property fmtid="{D5CDD505-2E9C-101B-9397-08002B2CF9AE}" pid="5" name="bjDocumentLabelXML">
    <vt:lpwstr>&lt;?xml version="1.0" encoding="us-ascii"?&gt;&lt;sisl xmlns:xsd="http://www.w3.org/2001/XMLSchema" xmlns:xsi="http://www.w3.org/2001/XMLSchema-instance" sislVersion="0" policy="9fad6c12-c904-493a-a948-e4ea7052b9f8" origin="userSelected" xmlns="http://www.boldonj</vt:lpwstr>
  </property>
  <property fmtid="{D5CDD505-2E9C-101B-9397-08002B2CF9AE}" pid="6" name="bjDocumentLabelXML-0">
    <vt:lpwstr>ames.com/2008/01/sie/internal/label"&gt;&lt;element uid="923c84e0-b190-45b3-b376-51567574750c" value="" /&gt;&lt;/sisl&gt;</vt:lpwstr>
  </property>
  <property fmtid="{D5CDD505-2E9C-101B-9397-08002B2CF9AE}" pid="7" name="bjDocumentSecurityLabel">
    <vt:lpwstr>Klasifikacija: Javno/Public</vt:lpwstr>
  </property>
  <property fmtid="{D5CDD505-2E9C-101B-9397-08002B2CF9AE}" pid="8" name="MSIP_Label_2062ad87-036e-491e-9fed-a81cfd22561c_Enabled">
    <vt:lpwstr>true</vt:lpwstr>
  </property>
  <property fmtid="{D5CDD505-2E9C-101B-9397-08002B2CF9AE}" pid="9" name="MSIP_Label_2062ad87-036e-491e-9fed-a81cfd22561c_SetDate">
    <vt:lpwstr>2026-03-17T08:55:52Z</vt:lpwstr>
  </property>
  <property fmtid="{D5CDD505-2E9C-101B-9397-08002B2CF9AE}" pid="10" name="MSIP_Label_2062ad87-036e-491e-9fed-a81cfd22561c_Method">
    <vt:lpwstr>Privileged</vt:lpwstr>
  </property>
  <property fmtid="{D5CDD505-2E9C-101B-9397-08002B2CF9AE}" pid="11" name="MSIP_Label_2062ad87-036e-491e-9fed-a81cfd22561c_Name">
    <vt:lpwstr>Javno-Public</vt:lpwstr>
  </property>
  <property fmtid="{D5CDD505-2E9C-101B-9397-08002B2CF9AE}" pid="12" name="MSIP_Label_2062ad87-036e-491e-9fed-a81cfd22561c_SiteId">
    <vt:lpwstr>dacc45ac-2744-490f-9a72-1b841bfcf46e</vt:lpwstr>
  </property>
  <property fmtid="{D5CDD505-2E9C-101B-9397-08002B2CF9AE}" pid="13" name="MSIP_Label_2062ad87-036e-491e-9fed-a81cfd22561c_ActionId">
    <vt:lpwstr>2bba1c5e-91e8-46dc-b4a7-9e6f927df9bf</vt:lpwstr>
  </property>
  <property fmtid="{D5CDD505-2E9C-101B-9397-08002B2CF9AE}" pid="14" name="MSIP_Label_2062ad87-036e-491e-9fed-a81cfd22561c_ContentBits">
    <vt:lpwstr>0</vt:lpwstr>
  </property>
  <property fmtid="{D5CDD505-2E9C-101B-9397-08002B2CF9AE}" pid="15" name="MSIP_Label_2062ad87-036e-491e-9fed-a81cfd22561c_Tag">
    <vt:lpwstr>10, 0, 1, 1</vt:lpwstr>
  </property>
</Properties>
</file>