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3008" w:rsidRDefault="00D53008" w:rsidP="00D53008">
      <w:pPr>
        <w:rPr>
          <w:rFonts w:ascii="Arial" w:hAnsi="Arial" w:cs="Arial"/>
          <w:sz w:val="24"/>
          <w:szCs w:val="24"/>
        </w:rPr>
      </w:pPr>
      <w:r w:rsidRPr="00420FF9">
        <w:rPr>
          <w:noProof/>
          <w:lang w:eastAsia="sr-Latn-RS"/>
        </w:rPr>
        <w:drawing>
          <wp:anchor distT="0" distB="0" distL="114300" distR="114300" simplePos="0" relativeHeight="251659264" behindDoc="1" locked="0" layoutInCell="1" allowOverlap="1" wp14:anchorId="4FEE4E89" wp14:editId="0447B272">
            <wp:simplePos x="0" y="0"/>
            <wp:positionH relativeFrom="margin">
              <wp:posOffset>0</wp:posOffset>
            </wp:positionH>
            <wp:positionV relativeFrom="paragraph">
              <wp:posOffset>0</wp:posOffset>
            </wp:positionV>
            <wp:extent cx="2867025" cy="323850"/>
            <wp:effectExtent l="0" t="0" r="9525" b="0"/>
            <wp:wrapTight wrapText="bothSides">
              <wp:wrapPolygon edited="0">
                <wp:start x="0" y="0"/>
                <wp:lineTo x="0" y="20329"/>
                <wp:lineTo x="21528" y="20329"/>
                <wp:lineTo x="2152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67025" cy="323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3008" w:rsidRDefault="00D53008" w:rsidP="00EF2CB4">
      <w:pPr>
        <w:ind w:firstLine="708"/>
        <w:rPr>
          <w:rFonts w:ascii="Arial" w:hAnsi="Arial" w:cs="Arial"/>
          <w:sz w:val="24"/>
          <w:szCs w:val="24"/>
        </w:rPr>
      </w:pPr>
    </w:p>
    <w:p w:rsidR="00D53008" w:rsidRDefault="00D53008" w:rsidP="00D53008">
      <w:pPr>
        <w:rPr>
          <w:rFonts w:ascii="Arial" w:hAnsi="Arial" w:cs="Arial"/>
          <w:sz w:val="24"/>
          <w:szCs w:val="24"/>
        </w:rPr>
      </w:pPr>
    </w:p>
    <w:p w:rsidR="00D53008" w:rsidRPr="00D53008" w:rsidRDefault="00D53008" w:rsidP="00D53008">
      <w:pPr>
        <w:rPr>
          <w:rFonts w:ascii="Arial" w:hAnsi="Arial" w:cs="Arial"/>
          <w:i/>
          <w:sz w:val="24"/>
          <w:szCs w:val="24"/>
        </w:rPr>
      </w:pPr>
      <w:r>
        <w:rPr>
          <w:rFonts w:ascii="Arial" w:hAnsi="Arial" w:cs="Arial"/>
          <w:i/>
          <w:sz w:val="24"/>
          <w:szCs w:val="24"/>
        </w:rPr>
        <w:t>MEDIA RELEASE</w:t>
      </w:r>
    </w:p>
    <w:p w:rsidR="00D53008" w:rsidRDefault="00D53008" w:rsidP="00EF2CB4">
      <w:pPr>
        <w:ind w:firstLine="708"/>
        <w:rPr>
          <w:rFonts w:ascii="Arial" w:hAnsi="Arial" w:cs="Arial"/>
          <w:sz w:val="24"/>
          <w:szCs w:val="24"/>
        </w:rPr>
      </w:pPr>
    </w:p>
    <w:p w:rsidR="000743D4" w:rsidRPr="00D53008" w:rsidRDefault="006326EE" w:rsidP="00EF2CB4">
      <w:pPr>
        <w:ind w:firstLine="708"/>
        <w:rPr>
          <w:rFonts w:ascii="Arial" w:hAnsi="Arial" w:cs="Arial"/>
          <w:b/>
          <w:bCs/>
          <w:sz w:val="24"/>
          <w:szCs w:val="24"/>
        </w:rPr>
      </w:pPr>
      <w:r w:rsidRPr="00D53008">
        <w:rPr>
          <w:rFonts w:ascii="Arial" w:hAnsi="Arial" w:cs="Arial"/>
          <w:sz w:val="24"/>
          <w:szCs w:val="24"/>
        </w:rPr>
        <w:t xml:space="preserve"> </w:t>
      </w:r>
      <w:r w:rsidRPr="00D53008">
        <w:rPr>
          <w:rFonts w:ascii="Arial" w:hAnsi="Arial" w:cs="Arial"/>
          <w:b/>
          <w:bCs/>
          <w:sz w:val="24"/>
          <w:szCs w:val="24"/>
        </w:rPr>
        <w:t>INTESA SANPAOLO: CONSOLIDATED RESULTS AS AT 30 JUNE 2023</w:t>
      </w:r>
    </w:p>
    <w:p w:rsidR="001A6370" w:rsidRPr="00D53008" w:rsidRDefault="001A6370" w:rsidP="006326EE">
      <w:pPr>
        <w:autoSpaceDE w:val="0"/>
        <w:autoSpaceDN w:val="0"/>
        <w:adjustRightInd w:val="0"/>
        <w:spacing w:after="0" w:line="240" w:lineRule="auto"/>
        <w:rPr>
          <w:rFonts w:ascii="Arial" w:hAnsi="Arial" w:cs="Arial"/>
          <w:i/>
          <w:iCs/>
          <w:color w:val="000000"/>
          <w:sz w:val="24"/>
          <w:szCs w:val="24"/>
        </w:rPr>
      </w:pPr>
    </w:p>
    <w:p w:rsidR="006326EE" w:rsidRPr="00D53008" w:rsidRDefault="00D53008" w:rsidP="001A6370">
      <w:pPr>
        <w:autoSpaceDE w:val="0"/>
        <w:autoSpaceDN w:val="0"/>
        <w:adjustRightInd w:val="0"/>
        <w:spacing w:after="0" w:line="240" w:lineRule="auto"/>
        <w:jc w:val="both"/>
        <w:rPr>
          <w:rFonts w:ascii="Arial" w:hAnsi="Arial" w:cs="Arial"/>
          <w:color w:val="000000"/>
          <w:sz w:val="24"/>
          <w:szCs w:val="24"/>
        </w:rPr>
      </w:pPr>
      <w:r>
        <w:rPr>
          <w:rFonts w:ascii="Arial" w:hAnsi="Arial" w:cs="Arial"/>
          <w:b/>
          <w:iCs/>
          <w:color w:val="000000"/>
          <w:sz w:val="24"/>
          <w:szCs w:val="24"/>
        </w:rPr>
        <w:t>Turin - Milan, 31</w:t>
      </w:r>
      <w:r w:rsidR="006326EE" w:rsidRPr="00D53008">
        <w:rPr>
          <w:rFonts w:ascii="Arial" w:hAnsi="Arial" w:cs="Arial"/>
          <w:b/>
          <w:iCs/>
          <w:color w:val="000000"/>
          <w:sz w:val="24"/>
          <w:szCs w:val="24"/>
        </w:rPr>
        <w:t xml:space="preserve"> July 2023</w:t>
      </w:r>
      <w:r w:rsidR="006326EE" w:rsidRPr="00D53008">
        <w:rPr>
          <w:rFonts w:ascii="Arial" w:hAnsi="Arial" w:cs="Arial"/>
          <w:i/>
          <w:iCs/>
          <w:color w:val="000000"/>
          <w:sz w:val="24"/>
          <w:szCs w:val="24"/>
        </w:rPr>
        <w:t xml:space="preserve"> </w:t>
      </w:r>
      <w:r w:rsidR="006326EE" w:rsidRPr="00D53008">
        <w:rPr>
          <w:rFonts w:ascii="Arial" w:hAnsi="Arial" w:cs="Arial"/>
          <w:color w:val="000000"/>
          <w:sz w:val="24"/>
          <w:szCs w:val="24"/>
        </w:rPr>
        <w:t>– At its meeting today, the Board of Directors of Intesa Sanpaolo approved the consolidated half-y</w:t>
      </w:r>
      <w:r w:rsidR="001A6370" w:rsidRPr="00D53008">
        <w:rPr>
          <w:rFonts w:ascii="Arial" w:hAnsi="Arial" w:cs="Arial"/>
          <w:color w:val="000000"/>
          <w:sz w:val="24"/>
          <w:szCs w:val="24"/>
        </w:rPr>
        <w:t>early report as at 30 June 2023.</w:t>
      </w:r>
    </w:p>
    <w:p w:rsidR="001A6370" w:rsidRPr="00D53008" w:rsidRDefault="001A6370" w:rsidP="001A6370">
      <w:pPr>
        <w:autoSpaceDE w:val="0"/>
        <w:autoSpaceDN w:val="0"/>
        <w:adjustRightInd w:val="0"/>
        <w:spacing w:after="0" w:line="240" w:lineRule="auto"/>
        <w:jc w:val="both"/>
        <w:rPr>
          <w:rFonts w:ascii="Arial" w:hAnsi="Arial" w:cs="Arial"/>
          <w:color w:val="000000"/>
          <w:sz w:val="24"/>
          <w:szCs w:val="24"/>
        </w:rPr>
      </w:pPr>
    </w:p>
    <w:p w:rsidR="006326EE" w:rsidRPr="00D53008" w:rsidRDefault="006326EE" w:rsidP="001A6370">
      <w:pPr>
        <w:autoSpaceDE w:val="0"/>
        <w:autoSpaceDN w:val="0"/>
        <w:adjustRightInd w:val="0"/>
        <w:spacing w:after="0" w:line="240" w:lineRule="auto"/>
        <w:jc w:val="both"/>
        <w:rPr>
          <w:rFonts w:ascii="Arial" w:hAnsi="Arial" w:cs="Arial"/>
          <w:color w:val="000000"/>
          <w:sz w:val="24"/>
          <w:szCs w:val="24"/>
        </w:rPr>
      </w:pPr>
      <w:r w:rsidRPr="00D53008">
        <w:rPr>
          <w:rFonts w:ascii="Arial" w:hAnsi="Arial" w:cs="Arial"/>
          <w:bCs/>
          <w:color w:val="000000"/>
          <w:sz w:val="24"/>
          <w:szCs w:val="24"/>
        </w:rPr>
        <w:t>The results for the first half of 2023 confirm that the Intesa Sanpaolo Group is able to generate sustainable profitability even in complex environments thanks to its well-diversified and resilient business model, with net income of €4.2bn driven by net interest income</w:t>
      </w:r>
      <w:r w:rsidRPr="00D53008">
        <w:rPr>
          <w:rFonts w:ascii="Arial" w:hAnsi="Arial" w:cs="Arial"/>
          <w:color w:val="000000"/>
          <w:sz w:val="24"/>
          <w:szCs w:val="24"/>
        </w:rPr>
        <w:t xml:space="preserve">. </w:t>
      </w:r>
    </w:p>
    <w:p w:rsidR="001A6370" w:rsidRPr="00D53008" w:rsidRDefault="001A6370" w:rsidP="001A6370">
      <w:pPr>
        <w:autoSpaceDE w:val="0"/>
        <w:autoSpaceDN w:val="0"/>
        <w:adjustRightInd w:val="0"/>
        <w:spacing w:after="0" w:line="240" w:lineRule="auto"/>
        <w:jc w:val="both"/>
        <w:rPr>
          <w:rFonts w:ascii="Arial" w:hAnsi="Arial" w:cs="Arial"/>
          <w:color w:val="000000"/>
          <w:sz w:val="24"/>
          <w:szCs w:val="24"/>
        </w:rPr>
      </w:pPr>
    </w:p>
    <w:p w:rsidR="001A6370" w:rsidRPr="00D53008" w:rsidRDefault="001A6370" w:rsidP="001A6370">
      <w:pPr>
        <w:autoSpaceDE w:val="0"/>
        <w:autoSpaceDN w:val="0"/>
        <w:adjustRightInd w:val="0"/>
        <w:spacing w:after="0" w:line="240" w:lineRule="auto"/>
        <w:jc w:val="both"/>
        <w:rPr>
          <w:rFonts w:ascii="Arial" w:hAnsi="Arial" w:cs="Arial"/>
          <w:color w:val="000000"/>
          <w:sz w:val="24"/>
          <w:szCs w:val="24"/>
        </w:rPr>
      </w:pPr>
      <w:r w:rsidRPr="00D53008">
        <w:rPr>
          <w:rFonts w:ascii="Arial" w:hAnsi="Arial" w:cs="Arial"/>
          <w:color w:val="000000"/>
          <w:sz w:val="24"/>
          <w:szCs w:val="24"/>
        </w:rPr>
        <w:t>„The Bank’s unique business model developed over the years – defined by a traditional strength in commercial banking, a leading position in Wealth Management &amp; Protection, and an advanced digital infrastructure – enables us to benefit from the current environment, while also ensuring resilience and profitability in the long term. Thanks to these distinctive elements, Intesa Sanpaolo is at the top of the sector in Europe and plays a uniquely important role in our country, contributing to economic growth and social cohesion“, said Carlo Messina, CEO of Intesa Sanpaolo.</w:t>
      </w:r>
    </w:p>
    <w:p w:rsidR="001A6370" w:rsidRPr="00D53008" w:rsidRDefault="001A6370" w:rsidP="001A6370">
      <w:pPr>
        <w:autoSpaceDE w:val="0"/>
        <w:autoSpaceDN w:val="0"/>
        <w:adjustRightInd w:val="0"/>
        <w:spacing w:after="0" w:line="240" w:lineRule="auto"/>
        <w:jc w:val="both"/>
        <w:rPr>
          <w:rFonts w:ascii="Arial" w:hAnsi="Arial" w:cs="Arial"/>
          <w:color w:val="000000"/>
          <w:sz w:val="24"/>
          <w:szCs w:val="24"/>
        </w:rPr>
      </w:pPr>
    </w:p>
    <w:p w:rsidR="001A6370" w:rsidRPr="00D53008" w:rsidRDefault="006326EE" w:rsidP="001A6370">
      <w:pPr>
        <w:autoSpaceDE w:val="0"/>
        <w:autoSpaceDN w:val="0"/>
        <w:adjustRightInd w:val="0"/>
        <w:spacing w:after="0" w:line="240" w:lineRule="auto"/>
        <w:jc w:val="both"/>
        <w:rPr>
          <w:rFonts w:ascii="Arial" w:hAnsi="Arial" w:cs="Arial"/>
          <w:color w:val="000000"/>
          <w:sz w:val="24"/>
          <w:szCs w:val="24"/>
        </w:rPr>
      </w:pPr>
      <w:r w:rsidRPr="00D53008">
        <w:rPr>
          <w:rFonts w:ascii="Arial" w:hAnsi="Arial" w:cs="Arial"/>
          <w:bCs/>
          <w:color w:val="000000"/>
          <w:sz w:val="24"/>
          <w:szCs w:val="24"/>
        </w:rPr>
        <w:t>The solid performance of income statement and balance sheet in the first half of the year translated into significant value creation for all stakeholders, also grounded in the Group’s strong ESG commitment</w:t>
      </w:r>
      <w:r w:rsidRPr="00D53008">
        <w:rPr>
          <w:rFonts w:ascii="Arial" w:hAnsi="Arial" w:cs="Arial"/>
          <w:color w:val="000000"/>
          <w:sz w:val="24"/>
          <w:szCs w:val="24"/>
        </w:rPr>
        <w:t xml:space="preserve">: specifically, around </w:t>
      </w:r>
      <w:r w:rsidRPr="00D53008">
        <w:rPr>
          <w:rFonts w:ascii="Arial" w:hAnsi="Arial" w:cs="Arial"/>
          <w:bCs/>
          <w:color w:val="000000"/>
          <w:sz w:val="24"/>
          <w:szCs w:val="24"/>
        </w:rPr>
        <w:t xml:space="preserve">€3bn dividends </w:t>
      </w:r>
      <w:r w:rsidRPr="00D53008">
        <w:rPr>
          <w:rFonts w:ascii="Arial" w:hAnsi="Arial" w:cs="Arial"/>
          <w:color w:val="000000"/>
          <w:sz w:val="24"/>
          <w:szCs w:val="24"/>
        </w:rPr>
        <w:t xml:space="preserve">accrued, </w:t>
      </w:r>
      <w:r w:rsidRPr="00D53008">
        <w:rPr>
          <w:rFonts w:ascii="Arial" w:hAnsi="Arial" w:cs="Arial"/>
          <w:bCs/>
          <w:color w:val="000000"/>
          <w:sz w:val="24"/>
          <w:szCs w:val="24"/>
        </w:rPr>
        <w:t xml:space="preserve">€2.6bn taxes </w:t>
      </w:r>
      <w:r w:rsidRPr="00D53008">
        <w:rPr>
          <w:rFonts w:ascii="Arial" w:hAnsi="Arial" w:cs="Arial"/>
          <w:color w:val="000000"/>
          <w:sz w:val="24"/>
          <w:szCs w:val="24"/>
        </w:rPr>
        <w:t xml:space="preserve">generated and </w:t>
      </w:r>
      <w:r w:rsidRPr="00D53008">
        <w:rPr>
          <w:rFonts w:ascii="Arial" w:hAnsi="Arial" w:cs="Arial"/>
          <w:bCs/>
          <w:color w:val="000000"/>
          <w:sz w:val="24"/>
          <w:szCs w:val="24"/>
        </w:rPr>
        <w:t xml:space="preserve">increased by around €590m on H1 2022 </w:t>
      </w:r>
      <w:r w:rsidRPr="00D53008">
        <w:rPr>
          <w:rFonts w:ascii="Arial" w:hAnsi="Arial" w:cs="Arial"/>
          <w:color w:val="000000"/>
          <w:sz w:val="24"/>
          <w:szCs w:val="24"/>
        </w:rPr>
        <w:t xml:space="preserve">as a consequence of the net interest income growth which has driven the increase of around €1.9bn in net income, </w:t>
      </w:r>
      <w:r w:rsidRPr="00D53008">
        <w:rPr>
          <w:rFonts w:ascii="Arial" w:hAnsi="Arial" w:cs="Arial"/>
          <w:bCs/>
          <w:color w:val="000000"/>
          <w:sz w:val="24"/>
          <w:szCs w:val="24"/>
        </w:rPr>
        <w:t xml:space="preserve">expanding the food and shelter programme for people in need </w:t>
      </w:r>
      <w:r w:rsidRPr="00D53008">
        <w:rPr>
          <w:rFonts w:ascii="Arial" w:hAnsi="Arial" w:cs="Arial"/>
          <w:color w:val="000000"/>
          <w:sz w:val="24"/>
          <w:szCs w:val="24"/>
        </w:rPr>
        <w:t xml:space="preserve">(over </w:t>
      </w:r>
      <w:r w:rsidRPr="00D53008">
        <w:rPr>
          <w:rFonts w:ascii="Arial" w:hAnsi="Arial" w:cs="Arial"/>
          <w:bCs/>
          <w:color w:val="000000"/>
          <w:sz w:val="24"/>
          <w:szCs w:val="24"/>
        </w:rPr>
        <w:t xml:space="preserve">28.1 million interventions </w:t>
      </w:r>
      <w:r w:rsidRPr="00D53008">
        <w:rPr>
          <w:rFonts w:ascii="Arial" w:hAnsi="Arial" w:cs="Arial"/>
          <w:color w:val="000000"/>
          <w:sz w:val="24"/>
          <w:szCs w:val="24"/>
        </w:rPr>
        <w:t xml:space="preserve">in the period 2022 - H1 2023), </w:t>
      </w:r>
      <w:r w:rsidRPr="00D53008">
        <w:rPr>
          <w:rFonts w:ascii="Arial" w:hAnsi="Arial" w:cs="Arial"/>
          <w:bCs/>
          <w:color w:val="000000"/>
          <w:sz w:val="24"/>
          <w:szCs w:val="24"/>
        </w:rPr>
        <w:t xml:space="preserve">enhancing initiatives to fight inequalities and foster financial, social, educational and cultural inclusion </w:t>
      </w:r>
      <w:r w:rsidRPr="00D53008">
        <w:rPr>
          <w:rFonts w:ascii="Arial" w:hAnsi="Arial" w:cs="Arial"/>
          <w:color w:val="000000"/>
          <w:sz w:val="24"/>
          <w:szCs w:val="24"/>
        </w:rPr>
        <w:t xml:space="preserve">(around </w:t>
      </w:r>
      <w:r w:rsidRPr="00D53008">
        <w:rPr>
          <w:rFonts w:ascii="Arial" w:hAnsi="Arial" w:cs="Arial"/>
          <w:bCs/>
          <w:color w:val="000000"/>
          <w:sz w:val="24"/>
          <w:szCs w:val="24"/>
        </w:rPr>
        <w:t xml:space="preserve">€12bn of social lending and urban regeneration </w:t>
      </w:r>
      <w:r w:rsidRPr="00D53008">
        <w:rPr>
          <w:rFonts w:ascii="Arial" w:hAnsi="Arial" w:cs="Arial"/>
          <w:color w:val="000000"/>
          <w:sz w:val="24"/>
          <w:szCs w:val="24"/>
        </w:rPr>
        <w:t xml:space="preserve">in the period 2022 - H1 2023). </w:t>
      </w:r>
    </w:p>
    <w:p w:rsidR="001A6370" w:rsidRPr="00D53008" w:rsidRDefault="001A6370" w:rsidP="001A6370">
      <w:pPr>
        <w:autoSpaceDE w:val="0"/>
        <w:autoSpaceDN w:val="0"/>
        <w:adjustRightInd w:val="0"/>
        <w:spacing w:after="0" w:line="240" w:lineRule="auto"/>
        <w:jc w:val="both"/>
        <w:rPr>
          <w:rFonts w:ascii="Arial" w:hAnsi="Arial" w:cs="Arial"/>
          <w:color w:val="000000"/>
          <w:sz w:val="24"/>
          <w:szCs w:val="24"/>
        </w:rPr>
      </w:pPr>
    </w:p>
    <w:p w:rsidR="001A6370" w:rsidRPr="00D53008" w:rsidRDefault="006326EE" w:rsidP="00D53008">
      <w:pPr>
        <w:autoSpaceDE w:val="0"/>
        <w:autoSpaceDN w:val="0"/>
        <w:adjustRightInd w:val="0"/>
        <w:spacing w:after="0" w:line="240" w:lineRule="auto"/>
        <w:jc w:val="both"/>
        <w:rPr>
          <w:rFonts w:ascii="Arial" w:hAnsi="Arial" w:cs="Arial"/>
          <w:color w:val="000000"/>
          <w:sz w:val="24"/>
          <w:szCs w:val="24"/>
        </w:rPr>
      </w:pPr>
      <w:r w:rsidRPr="00D53008">
        <w:rPr>
          <w:rFonts w:ascii="Arial" w:hAnsi="Arial" w:cs="Arial"/>
          <w:bCs/>
          <w:color w:val="000000"/>
          <w:sz w:val="24"/>
          <w:szCs w:val="24"/>
        </w:rPr>
        <w:t>Intesa Sanpaolo is fully equipped to continue operating successfully in the future given the Group’s key strengths</w:t>
      </w:r>
      <w:r w:rsidRPr="00D53008">
        <w:rPr>
          <w:rFonts w:ascii="Arial" w:hAnsi="Arial" w:cs="Arial"/>
          <w:color w:val="000000"/>
          <w:sz w:val="24"/>
          <w:szCs w:val="24"/>
        </w:rPr>
        <w:t xml:space="preserve">, notably resilient profitability, a solid capital position, the “zero-NPL” Bank status and high flexibility in managing operating costs. </w:t>
      </w:r>
    </w:p>
    <w:p w:rsidR="001A6370" w:rsidRPr="00D53008" w:rsidRDefault="001A6370" w:rsidP="00D53008">
      <w:pPr>
        <w:autoSpaceDE w:val="0"/>
        <w:autoSpaceDN w:val="0"/>
        <w:adjustRightInd w:val="0"/>
        <w:spacing w:after="0" w:line="240" w:lineRule="auto"/>
        <w:jc w:val="both"/>
        <w:rPr>
          <w:rFonts w:ascii="Arial" w:hAnsi="Arial" w:cs="Arial"/>
          <w:color w:val="000000"/>
          <w:sz w:val="24"/>
          <w:szCs w:val="24"/>
        </w:rPr>
      </w:pPr>
    </w:p>
    <w:p w:rsidR="006326EE" w:rsidRPr="00D53008" w:rsidRDefault="006326EE" w:rsidP="00D53008">
      <w:pPr>
        <w:autoSpaceDE w:val="0"/>
        <w:autoSpaceDN w:val="0"/>
        <w:adjustRightInd w:val="0"/>
        <w:spacing w:after="0" w:line="240" w:lineRule="auto"/>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N</w:t>
      </w:r>
      <w:r w:rsidR="001A6370" w:rsidRPr="00D53008">
        <w:rPr>
          <w:rFonts w:ascii="Arial" w:hAnsi="Arial" w:cs="Arial"/>
          <w:b/>
          <w:sz w:val="24"/>
          <w:szCs w:val="24"/>
        </w:rPr>
        <w:t>et income</w:t>
      </w:r>
      <w:r w:rsidR="001A6370" w:rsidRPr="00D53008">
        <w:rPr>
          <w:rFonts w:ascii="Arial" w:hAnsi="Arial" w:cs="Arial"/>
          <w:sz w:val="24"/>
          <w:szCs w:val="24"/>
        </w:rPr>
        <w:t xml:space="preserve"> of €4,222m in </w:t>
      </w:r>
      <w:r w:rsidR="00EF2CB4" w:rsidRPr="00D53008">
        <w:rPr>
          <w:rFonts w:ascii="Arial" w:hAnsi="Arial" w:cs="Arial"/>
          <w:sz w:val="24"/>
          <w:szCs w:val="24"/>
        </w:rPr>
        <w:t>H</w:t>
      </w:r>
      <w:r w:rsidR="001A6370" w:rsidRPr="00D53008">
        <w:rPr>
          <w:rFonts w:ascii="Arial" w:hAnsi="Arial" w:cs="Arial"/>
          <w:sz w:val="24"/>
          <w:szCs w:val="24"/>
        </w:rPr>
        <w:t xml:space="preserve">1 2023, up 80% compared with €2,346m in </w:t>
      </w:r>
      <w:r w:rsidR="00EF2CB4" w:rsidRPr="00D53008">
        <w:rPr>
          <w:rFonts w:ascii="Arial" w:hAnsi="Arial" w:cs="Arial"/>
          <w:sz w:val="24"/>
          <w:szCs w:val="24"/>
        </w:rPr>
        <w:t>H</w:t>
      </w:r>
      <w:r w:rsidR="001A6370" w:rsidRPr="00D53008">
        <w:rPr>
          <w:rFonts w:ascii="Arial" w:hAnsi="Arial" w:cs="Arial"/>
          <w:sz w:val="24"/>
          <w:szCs w:val="24"/>
        </w:rPr>
        <w:t xml:space="preserve">1 2022 </w:t>
      </w:r>
    </w:p>
    <w:p w:rsidR="001A6370" w:rsidRPr="00D53008" w:rsidRDefault="00D100F8"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G</w:t>
      </w:r>
      <w:r w:rsidR="001A6370" w:rsidRPr="00D53008">
        <w:rPr>
          <w:rFonts w:ascii="Arial" w:hAnsi="Arial" w:cs="Arial"/>
          <w:b/>
          <w:sz w:val="24"/>
          <w:szCs w:val="24"/>
        </w:rPr>
        <w:t>ross income</w:t>
      </w:r>
      <w:r w:rsidR="001A6370" w:rsidRPr="00D53008">
        <w:rPr>
          <w:rFonts w:ascii="Arial" w:hAnsi="Arial" w:cs="Arial"/>
          <w:sz w:val="24"/>
          <w:szCs w:val="24"/>
        </w:rPr>
        <w:t xml:space="preserve"> up 61% on </w:t>
      </w:r>
      <w:r w:rsidR="00EF2CB4" w:rsidRPr="00D53008">
        <w:rPr>
          <w:rFonts w:ascii="Arial" w:hAnsi="Arial" w:cs="Arial"/>
          <w:sz w:val="24"/>
          <w:szCs w:val="24"/>
        </w:rPr>
        <w:t>H</w:t>
      </w:r>
      <w:r w:rsidR="001A6370" w:rsidRPr="00D53008">
        <w:rPr>
          <w:rFonts w:ascii="Arial" w:hAnsi="Arial" w:cs="Arial"/>
          <w:sz w:val="24"/>
          <w:szCs w:val="24"/>
        </w:rPr>
        <w:t xml:space="preserve">1 2022 </w:t>
      </w:r>
    </w:p>
    <w:p w:rsidR="006326EE" w:rsidRPr="00D53008" w:rsidRDefault="001A6370"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O</w:t>
      </w:r>
      <w:r w:rsidRPr="00D53008">
        <w:rPr>
          <w:rFonts w:ascii="Arial" w:hAnsi="Arial" w:cs="Arial"/>
          <w:b/>
          <w:sz w:val="24"/>
          <w:szCs w:val="24"/>
        </w:rPr>
        <w:t>perating margin</w:t>
      </w:r>
      <w:r w:rsidRPr="00D53008">
        <w:rPr>
          <w:rFonts w:ascii="Arial" w:hAnsi="Arial" w:cs="Arial"/>
          <w:sz w:val="24"/>
          <w:szCs w:val="24"/>
        </w:rPr>
        <w:t xml:space="preserve"> up 28.5% on </w:t>
      </w:r>
      <w:r w:rsidR="00EF2CB4" w:rsidRPr="00D53008">
        <w:rPr>
          <w:rFonts w:ascii="Arial" w:hAnsi="Arial" w:cs="Arial"/>
          <w:sz w:val="24"/>
          <w:szCs w:val="24"/>
        </w:rPr>
        <w:t>H</w:t>
      </w:r>
      <w:r w:rsidRPr="00D53008">
        <w:rPr>
          <w:rFonts w:ascii="Arial" w:hAnsi="Arial" w:cs="Arial"/>
          <w:sz w:val="24"/>
          <w:szCs w:val="24"/>
        </w:rPr>
        <w:t xml:space="preserve">1 2022 </w:t>
      </w:r>
    </w:p>
    <w:p w:rsidR="006326EE" w:rsidRPr="00D53008" w:rsidRDefault="001A6370"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O</w:t>
      </w:r>
      <w:r w:rsidRPr="00D53008">
        <w:rPr>
          <w:rFonts w:ascii="Arial" w:hAnsi="Arial" w:cs="Arial"/>
          <w:b/>
          <w:sz w:val="24"/>
          <w:szCs w:val="24"/>
        </w:rPr>
        <w:t>perating income</w:t>
      </w:r>
      <w:r w:rsidRPr="00D53008">
        <w:rPr>
          <w:rFonts w:ascii="Arial" w:hAnsi="Arial" w:cs="Arial"/>
          <w:sz w:val="24"/>
          <w:szCs w:val="24"/>
        </w:rPr>
        <w:t xml:space="preserve"> up 15.3% on </w:t>
      </w:r>
      <w:r w:rsidR="00EF2CB4" w:rsidRPr="00D53008">
        <w:rPr>
          <w:rFonts w:ascii="Arial" w:hAnsi="Arial" w:cs="Arial"/>
          <w:sz w:val="24"/>
          <w:szCs w:val="24"/>
        </w:rPr>
        <w:t>H</w:t>
      </w:r>
      <w:r w:rsidRPr="00D53008">
        <w:rPr>
          <w:rFonts w:ascii="Arial" w:hAnsi="Arial" w:cs="Arial"/>
          <w:sz w:val="24"/>
          <w:szCs w:val="24"/>
        </w:rPr>
        <w:t xml:space="preserve">1 2022 </w:t>
      </w:r>
    </w:p>
    <w:p w:rsidR="006326EE" w:rsidRPr="00D53008" w:rsidRDefault="001A6370"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O</w:t>
      </w:r>
      <w:r w:rsidRPr="00D53008">
        <w:rPr>
          <w:rFonts w:ascii="Arial" w:hAnsi="Arial" w:cs="Arial"/>
          <w:b/>
          <w:sz w:val="24"/>
          <w:szCs w:val="24"/>
        </w:rPr>
        <w:t>perating costs</w:t>
      </w:r>
      <w:r w:rsidRPr="00D53008">
        <w:rPr>
          <w:rFonts w:ascii="Arial" w:hAnsi="Arial" w:cs="Arial"/>
          <w:sz w:val="24"/>
          <w:szCs w:val="24"/>
        </w:rPr>
        <w:t xml:space="preserve"> slightly up (0.9%) on </w:t>
      </w:r>
      <w:r w:rsidR="00EF2CB4" w:rsidRPr="00D53008">
        <w:rPr>
          <w:rFonts w:ascii="Arial" w:hAnsi="Arial" w:cs="Arial"/>
          <w:sz w:val="24"/>
          <w:szCs w:val="24"/>
        </w:rPr>
        <w:t>H</w:t>
      </w:r>
      <w:r w:rsidRPr="00D53008">
        <w:rPr>
          <w:rFonts w:ascii="Arial" w:hAnsi="Arial" w:cs="Arial"/>
          <w:sz w:val="24"/>
          <w:szCs w:val="24"/>
        </w:rPr>
        <w:t xml:space="preserve">1 2022 </w:t>
      </w:r>
    </w:p>
    <w:p w:rsidR="006326EE" w:rsidRPr="00D53008" w:rsidRDefault="001A6370"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C</w:t>
      </w:r>
      <w:r w:rsidRPr="00D53008">
        <w:rPr>
          <w:rFonts w:ascii="Arial" w:hAnsi="Arial" w:cs="Arial"/>
          <w:b/>
          <w:sz w:val="24"/>
          <w:szCs w:val="24"/>
        </w:rPr>
        <w:t>redit quality</w:t>
      </w:r>
      <w:r w:rsidRPr="00D53008">
        <w:rPr>
          <w:rFonts w:ascii="Arial" w:hAnsi="Arial" w:cs="Arial"/>
          <w:sz w:val="24"/>
          <w:szCs w:val="24"/>
        </w:rPr>
        <w:t xml:space="preserve">: </w:t>
      </w:r>
    </w:p>
    <w:p w:rsidR="006326EE" w:rsidRPr="00D53008" w:rsidRDefault="001A6370" w:rsidP="00D53008">
      <w:pPr>
        <w:spacing w:after="0"/>
        <w:ind w:left="708"/>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sz w:val="24"/>
          <w:szCs w:val="24"/>
        </w:rPr>
        <w:t>NPL</w:t>
      </w:r>
      <w:r w:rsidRPr="00D53008">
        <w:rPr>
          <w:rFonts w:ascii="Arial" w:hAnsi="Arial" w:cs="Arial"/>
          <w:sz w:val="24"/>
          <w:szCs w:val="24"/>
        </w:rPr>
        <w:t xml:space="preserve"> stock down 3.6% net and 2.5% gross on year-end 2022 </w:t>
      </w:r>
    </w:p>
    <w:p w:rsidR="006326EE" w:rsidRPr="00D53008" w:rsidRDefault="001A6370" w:rsidP="00D53008">
      <w:pPr>
        <w:spacing w:after="0"/>
        <w:ind w:left="708"/>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sz w:val="24"/>
          <w:szCs w:val="24"/>
        </w:rPr>
        <w:t>NPL</w:t>
      </w:r>
      <w:r w:rsidRPr="00D53008">
        <w:rPr>
          <w:rFonts w:ascii="Arial" w:hAnsi="Arial" w:cs="Arial"/>
          <w:sz w:val="24"/>
          <w:szCs w:val="24"/>
        </w:rPr>
        <w:t xml:space="preserve"> ratio of 1.2% net and 2.3% gross, respectively 1% and 1.9% according to the eba methodology </w:t>
      </w:r>
    </w:p>
    <w:p w:rsidR="006326EE" w:rsidRPr="00D53008" w:rsidRDefault="001A6370" w:rsidP="00D53008">
      <w:pPr>
        <w:spacing w:after="0"/>
        <w:ind w:left="708"/>
        <w:jc w:val="both"/>
        <w:rPr>
          <w:rFonts w:ascii="Arial" w:hAnsi="Arial" w:cs="Arial"/>
          <w:sz w:val="24"/>
          <w:szCs w:val="24"/>
        </w:rPr>
      </w:pPr>
      <w:r w:rsidRPr="00D53008">
        <w:rPr>
          <w:rFonts w:ascii="Arial" w:hAnsi="Arial" w:cs="Arial"/>
          <w:sz w:val="24"/>
          <w:szCs w:val="24"/>
        </w:rPr>
        <w:lastRenderedPageBreak/>
        <w:t xml:space="preserve">• </w:t>
      </w:r>
      <w:r w:rsidR="00EF2CB4" w:rsidRPr="00D53008">
        <w:rPr>
          <w:rFonts w:ascii="Arial" w:hAnsi="Arial" w:cs="Arial"/>
          <w:sz w:val="24"/>
          <w:szCs w:val="24"/>
        </w:rPr>
        <w:t>A</w:t>
      </w:r>
      <w:r w:rsidRPr="00D53008">
        <w:rPr>
          <w:rFonts w:ascii="Arial" w:hAnsi="Arial" w:cs="Arial"/>
          <w:sz w:val="24"/>
          <w:szCs w:val="24"/>
        </w:rPr>
        <w:t xml:space="preserve">nnualised cost of risk in </w:t>
      </w:r>
      <w:r w:rsidR="00EF2CB4" w:rsidRPr="00D53008">
        <w:rPr>
          <w:rFonts w:ascii="Arial" w:hAnsi="Arial" w:cs="Arial"/>
          <w:sz w:val="24"/>
          <w:szCs w:val="24"/>
        </w:rPr>
        <w:t>H</w:t>
      </w:r>
      <w:r w:rsidRPr="00D53008">
        <w:rPr>
          <w:rFonts w:ascii="Arial" w:hAnsi="Arial" w:cs="Arial"/>
          <w:sz w:val="24"/>
          <w:szCs w:val="24"/>
        </w:rPr>
        <w:t xml:space="preserve">1 2023 at 25 basis points (from 70 basis points in 2022, 30 basis points when excluding adjustments for the exposure to </w:t>
      </w:r>
      <w:r w:rsidR="00EF2CB4" w:rsidRPr="00D53008">
        <w:rPr>
          <w:rFonts w:ascii="Arial" w:hAnsi="Arial" w:cs="Arial"/>
          <w:sz w:val="24"/>
          <w:szCs w:val="24"/>
        </w:rPr>
        <w:t>Russia and U</w:t>
      </w:r>
      <w:r w:rsidRPr="00D53008">
        <w:rPr>
          <w:rFonts w:ascii="Arial" w:hAnsi="Arial" w:cs="Arial"/>
          <w:sz w:val="24"/>
          <w:szCs w:val="24"/>
        </w:rPr>
        <w:t xml:space="preserve">kraine, for overlays and to favour de-risking, net of the partial release of generic provisions which were set aside in 2020 for future </w:t>
      </w:r>
      <w:r w:rsidR="00EF2CB4" w:rsidRPr="00D53008">
        <w:rPr>
          <w:rFonts w:ascii="Arial" w:hAnsi="Arial" w:cs="Arial"/>
          <w:sz w:val="24"/>
          <w:szCs w:val="24"/>
        </w:rPr>
        <w:t>C</w:t>
      </w:r>
      <w:r w:rsidRPr="00D53008">
        <w:rPr>
          <w:rFonts w:ascii="Arial" w:hAnsi="Arial" w:cs="Arial"/>
          <w:sz w:val="24"/>
          <w:szCs w:val="24"/>
        </w:rPr>
        <w:t xml:space="preserve">ovid-19 impacts) </w:t>
      </w:r>
    </w:p>
    <w:p w:rsidR="006326EE" w:rsidRPr="00D53008" w:rsidRDefault="001A6370" w:rsidP="00D53008">
      <w:pPr>
        <w:spacing w:after="0"/>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b/>
          <w:sz w:val="24"/>
          <w:szCs w:val="24"/>
        </w:rPr>
        <w:t>A</w:t>
      </w:r>
      <w:r w:rsidRPr="00D53008">
        <w:rPr>
          <w:rFonts w:ascii="Arial" w:hAnsi="Arial" w:cs="Arial"/>
          <w:b/>
          <w:sz w:val="24"/>
          <w:szCs w:val="24"/>
        </w:rPr>
        <w:t xml:space="preserve"> solid capital position</w:t>
      </w:r>
      <w:r w:rsidRPr="00D53008">
        <w:rPr>
          <w:rFonts w:ascii="Arial" w:hAnsi="Arial" w:cs="Arial"/>
          <w:sz w:val="24"/>
          <w:szCs w:val="24"/>
        </w:rPr>
        <w:t xml:space="preserve">, well above regulatory requirements: </w:t>
      </w:r>
    </w:p>
    <w:p w:rsidR="006326EE" w:rsidRPr="00D53008" w:rsidRDefault="001A6370" w:rsidP="00D53008">
      <w:pPr>
        <w:spacing w:after="0"/>
        <w:ind w:left="708"/>
        <w:jc w:val="both"/>
        <w:rPr>
          <w:rFonts w:ascii="Arial" w:hAnsi="Arial" w:cs="Arial"/>
          <w:sz w:val="24"/>
          <w:szCs w:val="24"/>
        </w:rPr>
      </w:pPr>
      <w:r w:rsidRPr="00D53008">
        <w:rPr>
          <w:rFonts w:ascii="Arial" w:hAnsi="Arial" w:cs="Arial"/>
          <w:sz w:val="24"/>
          <w:szCs w:val="24"/>
        </w:rPr>
        <w:t xml:space="preserve">• </w:t>
      </w:r>
      <w:r w:rsidR="00EF2CB4" w:rsidRPr="00D53008">
        <w:rPr>
          <w:rFonts w:ascii="Arial" w:hAnsi="Arial" w:cs="Arial"/>
          <w:sz w:val="24"/>
          <w:szCs w:val="24"/>
        </w:rPr>
        <w:t>C</w:t>
      </w:r>
      <w:r w:rsidRPr="00D53008">
        <w:rPr>
          <w:rFonts w:ascii="Arial" w:hAnsi="Arial" w:cs="Arial"/>
          <w:sz w:val="24"/>
          <w:szCs w:val="24"/>
        </w:rPr>
        <w:t xml:space="preserve">ommon equity tier 1 ratio as at 30 june 2023, after deducting from capital around €3bn of dividends accrued in </w:t>
      </w:r>
      <w:r w:rsidR="00EF2CB4" w:rsidRPr="00D53008">
        <w:rPr>
          <w:rFonts w:ascii="Arial" w:hAnsi="Arial" w:cs="Arial"/>
          <w:sz w:val="24"/>
          <w:szCs w:val="24"/>
        </w:rPr>
        <w:t>H</w:t>
      </w:r>
      <w:r w:rsidRPr="00D53008">
        <w:rPr>
          <w:rFonts w:ascii="Arial" w:hAnsi="Arial" w:cs="Arial"/>
          <w:sz w:val="24"/>
          <w:szCs w:val="24"/>
        </w:rPr>
        <w:t>1 2023, at 13.7% fully loaded without taking into account the benefit of around 120 basis points deriving from the absorption of deferred tax assets (dtas) of which aro</w:t>
      </w:r>
      <w:r w:rsidR="00EF2CB4" w:rsidRPr="00D53008">
        <w:rPr>
          <w:rFonts w:ascii="Arial" w:hAnsi="Arial" w:cs="Arial"/>
          <w:sz w:val="24"/>
          <w:szCs w:val="24"/>
        </w:rPr>
        <w:t>und 30 basis points within the Q</w:t>
      </w:r>
      <w:r w:rsidRPr="00D53008">
        <w:rPr>
          <w:rFonts w:ascii="Arial" w:hAnsi="Arial" w:cs="Arial"/>
          <w:sz w:val="24"/>
          <w:szCs w:val="24"/>
        </w:rPr>
        <w:t>3 2023 - 2025 horizon</w:t>
      </w:r>
      <w:r w:rsidR="004D1DDA">
        <w:rPr>
          <w:rFonts w:ascii="Arial" w:hAnsi="Arial" w:cs="Arial"/>
          <w:sz w:val="24"/>
          <w:szCs w:val="24"/>
        </w:rPr>
        <w:t>.</w:t>
      </w:r>
      <w:bookmarkStart w:id="0" w:name="_GoBack"/>
      <w:bookmarkEnd w:id="0"/>
      <w:r w:rsidRPr="00D53008">
        <w:rPr>
          <w:rFonts w:ascii="Arial" w:hAnsi="Arial" w:cs="Arial"/>
          <w:sz w:val="24"/>
          <w:szCs w:val="24"/>
        </w:rPr>
        <w:t xml:space="preserve"> </w:t>
      </w: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r>
        <w:rPr>
          <w:rFonts w:ascii="Arial" w:hAnsi="Arial" w:cs="Arial"/>
          <w:i/>
          <w:sz w:val="24"/>
          <w:szCs w:val="24"/>
        </w:rPr>
        <w:t xml:space="preserve">Full press release available at </w:t>
      </w:r>
      <w:hyperlink r:id="rId9" w:history="1">
        <w:r w:rsidRPr="0094788C">
          <w:rPr>
            <w:rStyle w:val="Hyperlink"/>
            <w:rFonts w:ascii="Arial" w:hAnsi="Arial" w:cs="Arial"/>
            <w:sz w:val="24"/>
            <w:szCs w:val="24"/>
          </w:rPr>
          <w:t>https://group.intesasanpaolo.com/en/investor-relations/press-releases/2023/07/20230728-ris-1h23-uk</w:t>
        </w:r>
      </w:hyperlink>
      <w:r>
        <w:rPr>
          <w:rFonts w:ascii="Arial" w:hAnsi="Arial" w:cs="Arial"/>
          <w:sz w:val="24"/>
          <w:szCs w:val="24"/>
        </w:rPr>
        <w:t xml:space="preserve"> </w:t>
      </w: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6326EE">
      <w:pPr>
        <w:rPr>
          <w:rFonts w:ascii="Arial" w:hAnsi="Arial" w:cs="Arial"/>
          <w:sz w:val="24"/>
          <w:szCs w:val="24"/>
        </w:rPr>
      </w:pPr>
    </w:p>
    <w:p w:rsidR="00D53008" w:rsidRDefault="00D53008" w:rsidP="00D53008">
      <w:pPr>
        <w:autoSpaceDE w:val="0"/>
        <w:autoSpaceDN w:val="0"/>
        <w:spacing w:line="276" w:lineRule="auto"/>
        <w:jc w:val="both"/>
        <w:rPr>
          <w:rFonts w:ascii="Arial" w:hAnsi="Arial" w:cs="Arial"/>
          <w:b/>
          <w:bCs/>
          <w:sz w:val="16"/>
          <w:szCs w:val="16"/>
          <w:lang w:val="en-US"/>
        </w:rPr>
      </w:pPr>
    </w:p>
    <w:p w:rsidR="00D53008" w:rsidRDefault="00D53008" w:rsidP="00D53008">
      <w:pPr>
        <w:pBdr>
          <w:top w:val="single" w:sz="4" w:space="1" w:color="auto"/>
        </w:pBdr>
        <w:autoSpaceDE w:val="0"/>
        <w:autoSpaceDN w:val="0"/>
        <w:spacing w:line="276" w:lineRule="auto"/>
        <w:jc w:val="both"/>
        <w:rPr>
          <w:lang w:val="it-IT"/>
        </w:rPr>
      </w:pPr>
      <w:r>
        <w:rPr>
          <w:rFonts w:ascii="Arial" w:hAnsi="Arial" w:cs="Arial"/>
          <w:b/>
          <w:bCs/>
          <w:sz w:val="16"/>
          <w:szCs w:val="16"/>
          <w:lang w:val="en-US"/>
        </w:rPr>
        <w:t>Intesa Sanpaolo</w:t>
      </w:r>
      <w:r>
        <w:rPr>
          <w:rFonts w:ascii="Arial" w:hAnsi="Arial" w:cs="Arial"/>
          <w:sz w:val="16"/>
          <w:szCs w:val="16"/>
          <w:lang w:val="en-US"/>
        </w:rPr>
        <w:t xml:space="preserve"> is Italy’s leading banking group – serving families, businesses and the real economy – with a significant international presence. Intesa Sanpaolo’s distinctive business model makes it a European leader in Wealth Management, Protection &amp; Advisory, highly focused on digital and fintech, in particular with Isybank, the Group’s digital bank. An efficient and resilient Bank, it benefits from its wholly-owned product factories in asset management and insurance. The Group’s strong ESG commitment includes providing €115 billion in impact lending by 2025 to communities and for the green transition, and €500 million in contributions to support people most in need, positioning Intesa Sanpaolo as a world leader in terms of social impact. Intesa Sanpaolo is committed to Net Zero by 2030 for its own emissions and by 2050 for its loan and investment portfolios. An engaged patron of Italian culture, Intesa Sanpaolo has created its own network of museums, the Gallerie d’Italia, to host the bank's artistic heritage and as a venue for prestigious cultural projects.</w:t>
      </w:r>
    </w:p>
    <w:p w:rsidR="00D53008" w:rsidRDefault="00D53008" w:rsidP="00D53008">
      <w:pPr>
        <w:autoSpaceDE w:val="0"/>
        <w:autoSpaceDN w:val="0"/>
        <w:spacing w:line="276" w:lineRule="auto"/>
        <w:jc w:val="both"/>
        <w:rPr>
          <w:lang w:val="it-IT"/>
        </w:rPr>
      </w:pPr>
      <w:r>
        <w:rPr>
          <w:rFonts w:ascii="Arial" w:hAnsi="Arial" w:cs="Arial"/>
          <w:sz w:val="16"/>
          <w:szCs w:val="16"/>
          <w:lang w:val="en-US"/>
        </w:rPr>
        <w:t xml:space="preserve">News: group.intesasanpaolo.com/en/newsroom/news </w:t>
      </w:r>
    </w:p>
    <w:p w:rsidR="00D53008" w:rsidRDefault="00D53008" w:rsidP="00D53008">
      <w:pPr>
        <w:autoSpaceDE w:val="0"/>
        <w:autoSpaceDN w:val="0"/>
        <w:spacing w:line="276" w:lineRule="auto"/>
        <w:jc w:val="both"/>
        <w:rPr>
          <w:lang w:val="it-IT"/>
        </w:rPr>
      </w:pPr>
      <w:r>
        <w:rPr>
          <w:rFonts w:ascii="Arial" w:hAnsi="Arial" w:cs="Arial"/>
          <w:sz w:val="16"/>
          <w:szCs w:val="16"/>
          <w:lang w:val="en-US"/>
        </w:rPr>
        <w:t xml:space="preserve">Twitter: twitter.com/intesasanpaolo  </w:t>
      </w:r>
    </w:p>
    <w:p w:rsidR="00D53008" w:rsidRPr="00D53008" w:rsidRDefault="00D53008" w:rsidP="00D53008">
      <w:pPr>
        <w:autoSpaceDE w:val="0"/>
        <w:autoSpaceDN w:val="0"/>
        <w:spacing w:line="276" w:lineRule="auto"/>
        <w:jc w:val="both"/>
        <w:rPr>
          <w:lang w:val="it-IT"/>
        </w:rPr>
      </w:pPr>
      <w:r>
        <w:rPr>
          <w:rFonts w:ascii="Arial" w:hAnsi="Arial" w:cs="Arial"/>
          <w:sz w:val="16"/>
          <w:szCs w:val="16"/>
          <w:lang w:val="it-IT"/>
        </w:rPr>
        <w:t>LinkedIn: linkedin.com/company/intesa-sanpaolo</w:t>
      </w:r>
    </w:p>
    <w:sectPr w:rsidR="00D53008" w:rsidRPr="00D5300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4838" w:rsidRDefault="00244838" w:rsidP="006326EE">
      <w:pPr>
        <w:spacing w:after="0" w:line="240" w:lineRule="auto"/>
      </w:pPr>
      <w:r>
        <w:separator/>
      </w:r>
    </w:p>
  </w:endnote>
  <w:endnote w:type="continuationSeparator" w:id="0">
    <w:p w:rsidR="00244838" w:rsidRDefault="00244838" w:rsidP="006326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4838" w:rsidRDefault="00244838" w:rsidP="006326EE">
      <w:pPr>
        <w:spacing w:after="0" w:line="240" w:lineRule="auto"/>
      </w:pPr>
      <w:r>
        <w:separator/>
      </w:r>
    </w:p>
  </w:footnote>
  <w:footnote w:type="continuationSeparator" w:id="0">
    <w:p w:rsidR="00244838" w:rsidRDefault="00244838" w:rsidP="006326E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2D2E48F"/>
    <w:multiLevelType w:val="hybridMultilevel"/>
    <w:tmpl w:val="B129752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EA3DFC"/>
    <w:multiLevelType w:val="hybridMultilevel"/>
    <w:tmpl w:val="F7FFEC3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9D67BB6"/>
    <w:multiLevelType w:val="hybridMultilevel"/>
    <w:tmpl w:val="E633FBC5"/>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3DEF19A8"/>
    <w:multiLevelType w:val="hybridMultilevel"/>
    <w:tmpl w:val="F2D55AD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4510736E"/>
    <w:multiLevelType w:val="hybridMultilevel"/>
    <w:tmpl w:val="9873977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53596D05"/>
    <w:multiLevelType w:val="hybridMultilevel"/>
    <w:tmpl w:val="73F21C4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71323E92"/>
    <w:multiLevelType w:val="hybridMultilevel"/>
    <w:tmpl w:val="12E597B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6"/>
  </w:num>
  <w:num w:numId="2">
    <w:abstractNumId w:val="0"/>
  </w:num>
  <w:num w:numId="3">
    <w:abstractNumId w:val="5"/>
  </w:num>
  <w:num w:numId="4">
    <w:abstractNumId w:val="2"/>
  </w:num>
  <w:num w:numId="5">
    <w:abstractNumId w:val="1"/>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26EE"/>
    <w:rsid w:val="00030516"/>
    <w:rsid w:val="001A6370"/>
    <w:rsid w:val="00244838"/>
    <w:rsid w:val="00322449"/>
    <w:rsid w:val="004D1DDA"/>
    <w:rsid w:val="00525DBB"/>
    <w:rsid w:val="006326EE"/>
    <w:rsid w:val="00696CC6"/>
    <w:rsid w:val="007910AA"/>
    <w:rsid w:val="00A60558"/>
    <w:rsid w:val="00D100F8"/>
    <w:rsid w:val="00D53008"/>
    <w:rsid w:val="00EC08B3"/>
    <w:rsid w:val="00EF2CB4"/>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7BDD4A"/>
  <w15:chartTrackingRefBased/>
  <w15:docId w15:val="{6280B999-18F5-46D3-83EC-4C0816A930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26EE"/>
    <w:pPr>
      <w:tabs>
        <w:tab w:val="center" w:pos="4536"/>
        <w:tab w:val="right" w:pos="9072"/>
      </w:tabs>
      <w:spacing w:after="0" w:line="240" w:lineRule="auto"/>
    </w:pPr>
  </w:style>
  <w:style w:type="character" w:customStyle="1" w:styleId="HeaderChar">
    <w:name w:val="Header Char"/>
    <w:basedOn w:val="DefaultParagraphFont"/>
    <w:link w:val="Header"/>
    <w:uiPriority w:val="99"/>
    <w:rsid w:val="006326EE"/>
  </w:style>
  <w:style w:type="paragraph" w:styleId="Footer">
    <w:name w:val="footer"/>
    <w:basedOn w:val="Normal"/>
    <w:link w:val="FooterChar"/>
    <w:uiPriority w:val="99"/>
    <w:unhideWhenUsed/>
    <w:rsid w:val="006326EE"/>
    <w:pPr>
      <w:tabs>
        <w:tab w:val="center" w:pos="4536"/>
        <w:tab w:val="right" w:pos="9072"/>
      </w:tabs>
      <w:spacing w:after="0" w:line="240" w:lineRule="auto"/>
    </w:pPr>
  </w:style>
  <w:style w:type="character" w:customStyle="1" w:styleId="FooterChar">
    <w:name w:val="Footer Char"/>
    <w:basedOn w:val="DefaultParagraphFont"/>
    <w:link w:val="Footer"/>
    <w:uiPriority w:val="99"/>
    <w:rsid w:val="006326EE"/>
  </w:style>
  <w:style w:type="paragraph" w:customStyle="1" w:styleId="Default">
    <w:name w:val="Default"/>
    <w:rsid w:val="006326EE"/>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D5300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353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group.intesasanpaolo.com/en/investor-relations/press-releases/2023/07/20230728-ris-1h23-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923c84e0-b190-45b3-b376-51567574750c" value=""/>
</sisl>
</file>

<file path=customXml/itemProps1.xml><?xml version="1.0" encoding="utf-8"?>
<ds:datastoreItem xmlns:ds="http://schemas.openxmlformats.org/officeDocument/2006/customXml" ds:itemID="{C8B57699-8705-48CB-A483-C2A01268B22B}">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2</Pages>
  <Words>701</Words>
  <Characters>4002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Banca Intesa AD Beograd</Company>
  <LinksUpToDate>false</LinksUpToDate>
  <CharactersWithSpaces>4694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Krsmanovic</dc:creator>
  <cp:keywords/>
  <dc:description/>
  <cp:lastModifiedBy>Jelena Krsmanovic</cp:lastModifiedBy>
  <cp:revision>6</cp:revision>
  <dcterms:created xsi:type="dcterms:W3CDTF">2023-07-28T11:30:00Z</dcterms:created>
  <dcterms:modified xsi:type="dcterms:W3CDTF">2023-07-31T10:13:00Z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91d39cdb-59b8-4329-9eda-816d27fa5394</vt:lpwstr>
  </property>
  <property fmtid="{D5CDD505-2E9C-101B-9397-08002B2CF9AE}" pid="3" name="bjClsUserRVM">
    <vt:lpwstr>[]</vt:lpwstr>
  </property>
  <property fmtid="{D5CDD505-2E9C-101B-9397-08002B2CF9AE}" pid="4" name="bjSaver">
    <vt:lpwstr>Yswk2Z+P4WeVAdRVoAX0wKwsArwsDzpN</vt:lpwstr>
  </property>
  <property fmtid="{D5CDD505-2E9C-101B-9397-08002B2CF9AE}" pid="5"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6" name="bjDocumentLabelXML-0">
    <vt:lpwstr>ames.com/2008/01/sie/internal/label"&gt;&lt;element uid="923c84e0-b190-45b3-b376-51567574750c" value="" /&gt;&lt;/sisl&gt;</vt:lpwstr>
  </property>
  <property fmtid="{D5CDD505-2E9C-101B-9397-08002B2CF9AE}" pid="7" name="bjDocumentSecurityLabel">
    <vt:lpwstr>Klasifikacija: Javno/Public</vt:lpwstr>
  </property>
</Properties>
</file>